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AFD" w:rsidRDefault="00112AFD">
      <w:pPr>
        <w:bidi/>
        <w:ind w:right="-1333"/>
        <w:jc w:val="both"/>
        <w:rPr>
          <w:rFonts w:hint="cs"/>
          <w:sz w:val="32"/>
          <w:szCs w:val="32"/>
          <w:lang w:bidi="he-IL"/>
        </w:rPr>
      </w:pPr>
      <w:bookmarkStart w:id="0" w:name="_GoBack"/>
      <w:bookmarkEnd w:id="0"/>
    </w:p>
    <w:p w:rsidR="00112AFD" w:rsidRDefault="00112AFD" w:rsidP="00101E65">
      <w:pPr>
        <w:bidi/>
        <w:ind w:right="-1333"/>
        <w:rPr>
          <w:sz w:val="32"/>
          <w:szCs w:val="32"/>
          <w:rtl/>
          <w:lang w:bidi="he-IL"/>
        </w:rPr>
      </w:pPr>
    </w:p>
    <w:p w:rsidR="004313A6" w:rsidRPr="00A715FD" w:rsidRDefault="00DA7BEB" w:rsidP="00DA7BEB">
      <w:pPr>
        <w:tabs>
          <w:tab w:val="left" w:pos="374"/>
        </w:tabs>
        <w:bidi/>
        <w:spacing w:after="200" w:line="360" w:lineRule="auto"/>
        <w:ind w:left="668"/>
        <w:jc w:val="both"/>
        <w:rPr>
          <w:rFonts w:ascii="Almoni DL AAA" w:hAnsi="Almoni DL AAA" w:cs="Almoni DL AAA"/>
          <w:b/>
          <w:bCs/>
          <w:color w:val="831519"/>
          <w:sz w:val="26"/>
          <w:szCs w:val="26"/>
          <w:rtl/>
          <w:lang w:bidi="he-IL"/>
        </w:rPr>
      </w:pPr>
      <w:r w:rsidRPr="00DA7BEB">
        <w:rPr>
          <w:rFonts w:ascii="Almoni DL AAA" w:hAnsi="Almoni DL AAA" w:cs="Almoni DL AAA" w:hint="cs"/>
          <w:b/>
          <w:bCs/>
          <w:color w:val="831519"/>
          <w:sz w:val="26"/>
          <w:szCs w:val="26"/>
          <w:rtl/>
          <w:lang w:bidi="he-IL"/>
        </w:rPr>
        <w:t xml:space="preserve">מתמחור </w:t>
      </w:r>
      <w:r>
        <w:rPr>
          <w:rFonts w:ascii="Almoni DL AAA" w:hAnsi="Almoni DL AAA" w:cs="Almoni DL AAA" w:hint="cs"/>
          <w:b/>
          <w:bCs/>
          <w:color w:val="831519"/>
          <w:sz w:val="26"/>
          <w:szCs w:val="26"/>
          <w:rtl/>
          <w:lang w:bidi="he-IL"/>
        </w:rPr>
        <w:t xml:space="preserve">של </w:t>
      </w:r>
      <w:r w:rsidRPr="00DA7BEB">
        <w:rPr>
          <w:rFonts w:ascii="Almoni DL AAA" w:hAnsi="Almoni DL AAA" w:cs="Almoni DL AAA" w:hint="cs"/>
          <w:b/>
          <w:bCs/>
          <w:color w:val="831519"/>
          <w:sz w:val="26"/>
          <w:szCs w:val="26"/>
          <w:rtl/>
          <w:lang w:bidi="he-IL"/>
        </w:rPr>
        <w:t>בעיות ספציפיות לתמחור של האטה גלובלית</w:t>
      </w:r>
    </w:p>
    <w:p w:rsidR="00DA7BEB" w:rsidRPr="00DA7BEB" w:rsidRDefault="00DA7BEB" w:rsidP="00027E31">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לאורך החודשים האחרונים הפוקוס בשווקים הפיננסיים נע סביב מספר מוקדים ובראשם השפעת מחיר הנפט, עוצמת ההאטה בסין וכמובן השלכות העלאת הריבית בארה"ב. כל אחד מן הגורמים השפיע באופן ממוקד יחסית  בין אם על יצואניות וחברות נפט, על מדינות החשופות לסין (יצואניות סחורות ומדינות מזרח אסיה) וכמובן על הדולר</w:t>
      </w:r>
      <w:r w:rsidR="00027E31">
        <w:rPr>
          <w:rFonts w:ascii="Almoni DL AAA" w:hAnsi="Almoni DL AAA" w:cs="Almoni DL AAA" w:hint="cs"/>
          <w:sz w:val="22"/>
          <w:szCs w:val="22"/>
          <w:rtl/>
        </w:rPr>
        <w:t>, בין היתר,</w:t>
      </w:r>
      <w:r w:rsidR="00CE625E">
        <w:rPr>
          <w:rFonts w:ascii="Almoni DL AAA" w:hAnsi="Almoni DL AAA" w:cs="Almoni DL AAA" w:hint="cs"/>
          <w:sz w:val="22"/>
          <w:szCs w:val="22"/>
          <w:rtl/>
        </w:rPr>
        <w:t xml:space="preserve"> בעקבות חוסר הס</w:t>
      </w:r>
      <w:r w:rsidRPr="00DA7BEB">
        <w:rPr>
          <w:rFonts w:ascii="Almoni DL AAA" w:hAnsi="Almoni DL AAA" w:cs="Almoni DL AAA" w:hint="cs"/>
          <w:sz w:val="22"/>
          <w:szCs w:val="22"/>
          <w:rtl/>
        </w:rPr>
        <w:t xml:space="preserve">נכרון שבין המדיניות המוניטארית בארה"ב לשאר העולם. </w:t>
      </w:r>
    </w:p>
    <w:p w:rsidR="00DA7BEB" w:rsidRPr="00DA7BEB" w:rsidRDefault="00DA7BEB" w:rsidP="00CE625E">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 xml:space="preserve">לעומת זאת, בשבועות האחרונים החלו השווקים לשלב בין הגורמים ולתמחר פגיעה גורפת בצמיחה העולמית. סביבת המאקרו הנוכחית אינה משקפת עדיין האטה משמעותית, אך כמובן שהשווקים צופים פני עתיד ומשקפים צפי להידרדרות בסביבת המאקרו. לפיכך, יש לתת משקל גבוה יותר בעת זו לסקרי ציפיות ולתנאים הפיננסיים </w:t>
      </w:r>
      <w:r w:rsidR="00CE625E">
        <w:rPr>
          <w:rFonts w:ascii="Almoni DL AAA" w:hAnsi="Almoni DL AAA" w:cs="Almoni DL AAA" w:hint="cs"/>
          <w:sz w:val="22"/>
          <w:szCs w:val="22"/>
          <w:rtl/>
        </w:rPr>
        <w:t>ו</w:t>
      </w:r>
      <w:r w:rsidRPr="00DA7BEB">
        <w:rPr>
          <w:rFonts w:ascii="Almoni DL AAA" w:hAnsi="Almoni DL AAA" w:cs="Almoni DL AAA" w:hint="cs"/>
          <w:sz w:val="22"/>
          <w:szCs w:val="22"/>
          <w:rtl/>
        </w:rPr>
        <w:t>משקל פחות לנתוני הפעילות. הגרף הבא מספק דוגמה לכך ומציג את הפיגור שבין שינויי הכיוון בפעילות (בין אם בכיוון מיתון ובין אם התאוששות) הבאים לידי ביטוי במדדי מנהלי הרכש בארה"ב (</w:t>
      </w:r>
      <w:r w:rsidRPr="00DA7BEB">
        <w:rPr>
          <w:rFonts w:ascii="Almoni DL AAA" w:hAnsi="Almoni DL AAA" w:cs="Almoni DL AAA"/>
          <w:sz w:val="22"/>
          <w:szCs w:val="22"/>
        </w:rPr>
        <w:t>ISM</w:t>
      </w:r>
      <w:r w:rsidRPr="00DA7BEB">
        <w:rPr>
          <w:rFonts w:ascii="Almoni DL AAA" w:hAnsi="Almoni DL AAA" w:cs="Almoni DL AAA" w:hint="cs"/>
          <w:sz w:val="22"/>
          <w:szCs w:val="22"/>
          <w:rtl/>
        </w:rPr>
        <w:t xml:space="preserve">) לעומת השינוי בתעסוקה שמגיע בפיגור של מספר רבעונים. </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drawing>
          <wp:inline distT="0" distB="0" distL="0" distR="0" wp14:anchorId="391DA563" wp14:editId="415E9D82">
            <wp:extent cx="3516599" cy="2144457"/>
            <wp:effectExtent l="0" t="0" r="8255" b="0"/>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9332" cy="2146124"/>
                    </a:xfrm>
                    <a:prstGeom prst="rect">
                      <a:avLst/>
                    </a:prstGeom>
                    <a:noFill/>
                  </pic:spPr>
                </pic:pic>
              </a:graphicData>
            </a:graphic>
          </wp:inline>
        </w:drawing>
      </w:r>
    </w:p>
    <w:p w:rsidR="00DA7BEB" w:rsidRPr="00DA7BEB" w:rsidRDefault="00027E31" w:rsidP="00DA7BEB">
      <w:pPr>
        <w:pStyle w:val="a9"/>
        <w:numPr>
          <w:ilvl w:val="0"/>
          <w:numId w:val="28"/>
        </w:numPr>
        <w:tabs>
          <w:tab w:val="left" w:pos="374"/>
        </w:tabs>
        <w:spacing w:after="200" w:line="360" w:lineRule="auto"/>
        <w:ind w:left="360"/>
        <w:jc w:val="both"/>
        <w:rPr>
          <w:rFonts w:ascii="Almoni DL AAA" w:hAnsi="Almoni DL AAA" w:cs="Almoni DL AAA"/>
          <w:sz w:val="22"/>
          <w:szCs w:val="22"/>
          <w:rtl/>
        </w:rPr>
      </w:pPr>
      <w:r>
        <w:rPr>
          <w:rFonts w:ascii="Almoni DL AAA" w:hAnsi="Almoni DL AAA" w:cs="Almoni DL AAA" w:hint="cs"/>
          <w:sz w:val="22"/>
          <w:szCs w:val="22"/>
          <w:rtl/>
        </w:rPr>
        <w:t xml:space="preserve">מגמת הירידה במדדי מנהלי הרכש בעולם נמשכה באופן כללי גם בפברואר. </w:t>
      </w:r>
      <w:r w:rsidR="00DA7BEB" w:rsidRPr="00DA7BEB">
        <w:rPr>
          <w:rFonts w:ascii="Almoni DL AAA" w:hAnsi="Almoni DL AAA" w:cs="Almoni DL AAA" w:hint="cs"/>
          <w:sz w:val="22"/>
          <w:szCs w:val="22"/>
          <w:rtl/>
        </w:rPr>
        <w:t xml:space="preserve">מדדי מנהלי הרכש בסין לחודש פברואר המשיכו להצביע על התכווצות בתעשייה וזליגה הדרגתית אל ענפי השירותים שאמנם עדיין מתרחבים אך בקצב מתון יותר. מדד התעשייה של </w:t>
      </w:r>
      <w:proofErr w:type="spellStart"/>
      <w:r w:rsidR="00DA7BEB" w:rsidRPr="00DA7BEB">
        <w:rPr>
          <w:rFonts w:ascii="Almoni DL AAA" w:hAnsi="Almoni DL AAA" w:cs="Almoni DL AAA"/>
          <w:sz w:val="22"/>
          <w:szCs w:val="22"/>
        </w:rPr>
        <w:t>Caixin</w:t>
      </w:r>
      <w:proofErr w:type="spellEnd"/>
      <w:r w:rsidR="00DA7BEB" w:rsidRPr="00DA7BEB">
        <w:rPr>
          <w:rFonts w:ascii="Almoni DL AAA" w:hAnsi="Almoni DL AAA" w:cs="Almoni DL AAA" w:hint="cs"/>
          <w:sz w:val="22"/>
          <w:szCs w:val="22"/>
          <w:rtl/>
        </w:rPr>
        <w:t xml:space="preserve"> מוסיף לנוע ברמות נמוכות יותר מאשר המדד הרשמי, וירד בפברואר לרמה של 48. </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lastRenderedPageBreak/>
        <w:drawing>
          <wp:inline distT="0" distB="0" distL="0" distR="0" wp14:anchorId="2B5386B4" wp14:editId="3E6374A4">
            <wp:extent cx="3562066" cy="2324205"/>
            <wp:effectExtent l="0" t="0" r="635" b="0"/>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3923" cy="2325417"/>
                    </a:xfrm>
                    <a:prstGeom prst="rect">
                      <a:avLst/>
                    </a:prstGeom>
                    <a:noFill/>
                  </pic:spPr>
                </pic:pic>
              </a:graphicData>
            </a:graphic>
          </wp:inline>
        </w:drawing>
      </w:r>
    </w:p>
    <w:p w:rsidR="00DA7BEB" w:rsidRPr="00DA7BEB" w:rsidRDefault="00DA7BEB" w:rsidP="00027E31">
      <w:pPr>
        <w:pStyle w:val="a9"/>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 xml:space="preserve">בפברואר הואצה גם ההתכנסות של המדדים האירופאיים אל שאר העולם, מדד התעשייה ירד לרמה של 51 ואילו מדד השירותים לרמה של 53. </w:t>
      </w:r>
      <w:r w:rsidR="00027E31">
        <w:rPr>
          <w:rFonts w:ascii="Almoni DL AAA" w:hAnsi="Almoni DL AAA" w:cs="Almoni DL AAA" w:hint="cs"/>
          <w:sz w:val="22"/>
          <w:szCs w:val="22"/>
          <w:rtl/>
        </w:rPr>
        <w:t xml:space="preserve">כך, </w:t>
      </w:r>
      <w:r w:rsidRPr="00DA7BEB">
        <w:rPr>
          <w:rFonts w:ascii="Almoni DL AAA" w:hAnsi="Almoni DL AAA" w:cs="Almoni DL AAA" w:hint="cs"/>
          <w:sz w:val="22"/>
          <w:szCs w:val="22"/>
          <w:rtl/>
        </w:rPr>
        <w:t xml:space="preserve">אם צריך לסכם את המסר העולה ממדיי מנהלי הרכש בעולם הוא של מגמת התכווצות בענפי התעשייה שנמשכת ובהדרגה מחלישה את הפעילות בענפי השירותים.  </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drawing>
          <wp:inline distT="0" distB="0" distL="0" distR="0" wp14:anchorId="68A137B0" wp14:editId="0BE236E1">
            <wp:extent cx="3328636" cy="2173377"/>
            <wp:effectExtent l="0" t="0" r="5715" b="0"/>
            <wp:docPr id="17"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29469" cy="2173921"/>
                    </a:xfrm>
                    <a:prstGeom prst="rect">
                      <a:avLst/>
                    </a:prstGeom>
                    <a:noFill/>
                  </pic:spPr>
                </pic:pic>
              </a:graphicData>
            </a:graphic>
          </wp:inline>
        </w:drawing>
      </w:r>
    </w:p>
    <w:p w:rsidR="00DA7BEB" w:rsidRPr="00DA7BEB" w:rsidRDefault="00CE625E" w:rsidP="00DA7BEB">
      <w:pPr>
        <w:pStyle w:val="a9"/>
        <w:numPr>
          <w:ilvl w:val="0"/>
          <w:numId w:val="28"/>
        </w:numPr>
        <w:tabs>
          <w:tab w:val="left" w:pos="374"/>
        </w:tabs>
        <w:spacing w:after="200" w:line="360" w:lineRule="auto"/>
        <w:ind w:left="360"/>
        <w:jc w:val="both"/>
        <w:rPr>
          <w:rFonts w:ascii="Almoni DL AAA" w:hAnsi="Almoni DL AAA" w:cs="Almoni DL AAA"/>
          <w:sz w:val="22"/>
          <w:szCs w:val="22"/>
          <w:rtl/>
        </w:rPr>
      </w:pPr>
      <w:r>
        <w:rPr>
          <w:rFonts w:ascii="Almoni DL AAA" w:hAnsi="Almoni DL AAA" w:cs="Almoni DL AAA" w:hint="cs"/>
          <w:sz w:val="22"/>
          <w:szCs w:val="22"/>
          <w:rtl/>
        </w:rPr>
        <w:t>בסקי</w:t>
      </w:r>
      <w:r w:rsidR="00DA7BEB" w:rsidRPr="00DA7BEB">
        <w:rPr>
          <w:rFonts w:ascii="Almoni DL AAA" w:hAnsi="Almoni DL AAA" w:cs="Almoni DL AAA" w:hint="cs"/>
          <w:sz w:val="22"/>
          <w:szCs w:val="22"/>
          <w:rtl/>
        </w:rPr>
        <w:t xml:space="preserve">רותינו בחודשים האחרונים עמדנו לא מעט על הפער החריג שנפתח בין פעילות התעשייה לבין השירותים, וציינו כי השניים צפויים להתכנס תוך הסתברות גבוהה שהדבר יגיע מצד האטה בשירותים. בשבוע האחרון נרשמה ירידה במדד השירותים של </w:t>
      </w:r>
      <w:proofErr w:type="spellStart"/>
      <w:r w:rsidR="00DA7BEB" w:rsidRPr="00DA7BEB">
        <w:rPr>
          <w:rFonts w:ascii="Almoni DL AAA" w:hAnsi="Almoni DL AAA" w:cs="Almoni DL AAA"/>
          <w:sz w:val="22"/>
          <w:szCs w:val="22"/>
        </w:rPr>
        <w:t>markit</w:t>
      </w:r>
      <w:proofErr w:type="spellEnd"/>
      <w:r w:rsidR="00DA7BEB" w:rsidRPr="00DA7BEB">
        <w:rPr>
          <w:rFonts w:ascii="Almoni DL AAA" w:hAnsi="Almoni DL AAA" w:cs="Almoni DL AAA" w:hint="cs"/>
          <w:sz w:val="22"/>
          <w:szCs w:val="22"/>
          <w:rtl/>
        </w:rPr>
        <w:t xml:space="preserve"> לרמה של 49, כך שהפוקוס השבוע יהיה סביב מדד השירותים של </w:t>
      </w:r>
      <w:r w:rsidR="00DA7BEB" w:rsidRPr="00DA7BEB">
        <w:rPr>
          <w:rFonts w:ascii="Almoni DL AAA" w:hAnsi="Almoni DL AAA" w:cs="Almoni DL AAA"/>
          <w:sz w:val="22"/>
          <w:szCs w:val="22"/>
        </w:rPr>
        <w:t>ISM</w:t>
      </w:r>
      <w:r w:rsidR="00DA7BEB" w:rsidRPr="00DA7BEB">
        <w:rPr>
          <w:rFonts w:ascii="Almoni DL AAA" w:hAnsi="Almoni DL AAA" w:cs="Almoni DL AAA" w:hint="cs"/>
          <w:sz w:val="22"/>
          <w:szCs w:val="22"/>
          <w:rtl/>
        </w:rPr>
        <w:t xml:space="preserve"> שאליו מייחס השוק משקל גבוה יותר מאשר למדד של </w:t>
      </w:r>
      <w:proofErr w:type="spellStart"/>
      <w:r w:rsidR="00DA7BEB" w:rsidRPr="00DA7BEB">
        <w:rPr>
          <w:rFonts w:ascii="Almoni DL AAA" w:hAnsi="Almoni DL AAA" w:cs="Almoni DL AAA"/>
          <w:sz w:val="22"/>
          <w:szCs w:val="22"/>
        </w:rPr>
        <w:t>markit</w:t>
      </w:r>
      <w:proofErr w:type="spellEnd"/>
      <w:r w:rsidR="00DA7BEB" w:rsidRPr="00DA7BEB">
        <w:rPr>
          <w:rFonts w:ascii="Almoni DL AAA" w:hAnsi="Almoni DL AAA" w:cs="Almoni DL AAA" w:hint="cs"/>
          <w:sz w:val="22"/>
          <w:szCs w:val="22"/>
          <w:rtl/>
        </w:rPr>
        <w:t>.</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lastRenderedPageBreak/>
        <w:drawing>
          <wp:inline distT="0" distB="0" distL="0" distR="0" wp14:anchorId="7B31812A" wp14:editId="353512E2">
            <wp:extent cx="3424193" cy="2088107"/>
            <wp:effectExtent l="0" t="0" r="5080" b="0"/>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26107" cy="2089274"/>
                    </a:xfrm>
                    <a:prstGeom prst="rect">
                      <a:avLst/>
                    </a:prstGeom>
                    <a:noFill/>
                  </pic:spPr>
                </pic:pic>
              </a:graphicData>
            </a:graphic>
          </wp:inline>
        </w:drawing>
      </w:r>
    </w:p>
    <w:p w:rsidR="00CE625E" w:rsidRDefault="00CE625E" w:rsidP="00CE625E">
      <w:pPr>
        <w:pStyle w:val="a9"/>
        <w:tabs>
          <w:tab w:val="left" w:pos="374"/>
        </w:tabs>
        <w:spacing w:after="200" w:line="360" w:lineRule="auto"/>
        <w:ind w:left="360"/>
        <w:jc w:val="both"/>
        <w:rPr>
          <w:rFonts w:ascii="Almoni DL AAA" w:hAnsi="Almoni DL AAA" w:cs="Almoni DL AAA"/>
          <w:sz w:val="22"/>
          <w:szCs w:val="22"/>
        </w:rPr>
      </w:pPr>
    </w:p>
    <w:p w:rsidR="00DA7BEB" w:rsidRPr="00DA7BEB" w:rsidRDefault="00DA7BEB" w:rsidP="00CE625E">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 xml:space="preserve">ההרעה בשווקים הפיננסיים מלווה שלא במפתיע בעלייה ניכרת בתנודתיות בשווקים. התפתחות זו משקפת בעיית נזילות וכפי שציינו לא מעט בסקירותינו, תופעה </w:t>
      </w:r>
      <w:r w:rsidR="000B5383" w:rsidRPr="00DA7BEB">
        <w:rPr>
          <w:rFonts w:ascii="Almoni DL AAA" w:hAnsi="Almoni DL AAA" w:cs="Almoni DL AAA" w:hint="cs"/>
          <w:sz w:val="22"/>
          <w:szCs w:val="22"/>
          <w:rtl/>
        </w:rPr>
        <w:t>שאפיינה</w:t>
      </w:r>
      <w:r w:rsidRPr="00DA7BEB">
        <w:rPr>
          <w:rFonts w:ascii="Almoni DL AAA" w:hAnsi="Almoni DL AAA" w:cs="Almoni DL AAA" w:hint="cs"/>
          <w:sz w:val="22"/>
          <w:szCs w:val="22"/>
          <w:rtl/>
        </w:rPr>
        <w:t xml:space="preserve"> את התקופות בהן ה-</w:t>
      </w:r>
      <w:r w:rsidRPr="00DA7BEB">
        <w:rPr>
          <w:rFonts w:ascii="Almoni DL AAA" w:hAnsi="Almoni DL AAA" w:cs="Almoni DL AAA"/>
          <w:sz w:val="22"/>
          <w:szCs w:val="22"/>
        </w:rPr>
        <w:t>FED</w:t>
      </w:r>
      <w:r w:rsidRPr="00DA7BEB">
        <w:rPr>
          <w:rFonts w:ascii="Almoni DL AAA" w:hAnsi="Almoni DL AAA" w:cs="Almoni DL AAA" w:hint="cs"/>
          <w:sz w:val="22"/>
          <w:szCs w:val="22"/>
          <w:rtl/>
        </w:rPr>
        <w:t xml:space="preserve"> הוריד את הרגל מהגז, כלומר סיים עם ה</w:t>
      </w:r>
      <w:r w:rsidR="00CE625E">
        <w:rPr>
          <w:rFonts w:ascii="Almoni DL AAA" w:hAnsi="Almoni DL AAA" w:cs="Almoni DL AAA" w:hint="cs"/>
          <w:sz w:val="22"/>
          <w:szCs w:val="22"/>
          <w:rtl/>
        </w:rPr>
        <w:t xml:space="preserve">הרחבה הכמותית. כפי שעולה </w:t>
      </w:r>
      <w:r w:rsidRPr="00DA7BEB">
        <w:rPr>
          <w:rFonts w:ascii="Almoni DL AAA" w:hAnsi="Almoni DL AAA" w:cs="Almoni DL AAA" w:hint="cs"/>
          <w:sz w:val="22"/>
          <w:szCs w:val="22"/>
          <w:rtl/>
        </w:rPr>
        <w:t>מ</w:t>
      </w:r>
      <w:r w:rsidR="00CE625E">
        <w:rPr>
          <w:rFonts w:ascii="Almoni DL AAA" w:hAnsi="Almoni DL AAA" w:cs="Almoni DL AAA" w:hint="cs"/>
          <w:sz w:val="22"/>
          <w:szCs w:val="22"/>
          <w:rtl/>
        </w:rPr>
        <w:t>ה</w:t>
      </w:r>
      <w:r w:rsidRPr="00DA7BEB">
        <w:rPr>
          <w:rFonts w:ascii="Almoni DL AAA" w:hAnsi="Almoni DL AAA" w:cs="Almoni DL AAA" w:hint="cs"/>
          <w:sz w:val="22"/>
          <w:szCs w:val="22"/>
          <w:rtl/>
        </w:rPr>
        <w:t>גרף הבא, תקופות בהן ה-</w:t>
      </w:r>
      <w:r w:rsidRPr="00DA7BEB">
        <w:rPr>
          <w:rFonts w:ascii="Almoni DL AAA" w:hAnsi="Almoni DL AAA" w:cs="Almoni DL AAA"/>
          <w:sz w:val="22"/>
          <w:szCs w:val="22"/>
        </w:rPr>
        <w:t>FED</w:t>
      </w:r>
      <w:r w:rsidRPr="00DA7BEB">
        <w:rPr>
          <w:rFonts w:ascii="Almoni DL AAA" w:hAnsi="Almoni DL AAA" w:cs="Almoni DL AAA" w:hint="cs"/>
          <w:sz w:val="22"/>
          <w:szCs w:val="22"/>
          <w:rtl/>
        </w:rPr>
        <w:t xml:space="preserve"> נמצא במהלך הרחבה כמותית שימשו כבולם זעזועים ולכן התאפיינו בסטיות תקן נמוכות ובמגמה חיובית עבור נכסי הסיכון. </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drawing>
          <wp:inline distT="0" distB="0" distL="0" distR="0" wp14:anchorId="01816567" wp14:editId="5C1BD6F7">
            <wp:extent cx="3722124" cy="2272352"/>
            <wp:effectExtent l="0" t="0" r="0" b="0"/>
            <wp:docPr id="20" name="תמונה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23147" cy="2272976"/>
                    </a:xfrm>
                    <a:prstGeom prst="rect">
                      <a:avLst/>
                    </a:prstGeom>
                    <a:noFill/>
                  </pic:spPr>
                </pic:pic>
              </a:graphicData>
            </a:graphic>
          </wp:inline>
        </w:drawing>
      </w:r>
    </w:p>
    <w:p w:rsidR="00DA7BEB" w:rsidRPr="00DA7BEB" w:rsidRDefault="00DA7BEB" w:rsidP="000B5383">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למעשה לפי המודל של ה-</w:t>
      </w:r>
      <w:r w:rsidRPr="00DA7BEB">
        <w:rPr>
          <w:rFonts w:ascii="Almoni DL AAA" w:hAnsi="Almoni DL AAA" w:cs="Almoni DL AAA"/>
          <w:sz w:val="22"/>
          <w:szCs w:val="22"/>
        </w:rPr>
        <w:t xml:space="preserve">FED </w:t>
      </w:r>
      <w:r w:rsidRPr="00DA7BEB">
        <w:rPr>
          <w:rFonts w:ascii="Almoni DL AAA" w:hAnsi="Almoni DL AAA" w:cs="Almoni DL AAA" w:hint="cs"/>
          <w:sz w:val="22"/>
          <w:szCs w:val="22"/>
          <w:rtl/>
        </w:rPr>
        <w:t xml:space="preserve"> של אטלנטה (המצורף בגרף הבא) ניתן לתרגם את ההרחבות הכמותיות של ה-</w:t>
      </w:r>
      <w:r w:rsidRPr="00DA7BEB">
        <w:rPr>
          <w:rFonts w:ascii="Almoni DL AAA" w:hAnsi="Almoni DL AAA" w:cs="Almoni DL AAA"/>
          <w:sz w:val="22"/>
          <w:szCs w:val="22"/>
        </w:rPr>
        <w:t>FED</w:t>
      </w:r>
      <w:r w:rsidRPr="00DA7BEB">
        <w:rPr>
          <w:rFonts w:ascii="Almoni DL AAA" w:hAnsi="Almoni DL AAA" w:cs="Almoni DL AAA" w:hint="cs"/>
          <w:sz w:val="22"/>
          <w:szCs w:val="22"/>
          <w:rtl/>
        </w:rPr>
        <w:t xml:space="preserve"> ל-"ריבית צל", כך שלפי מודל זה שתי התוכניות הראשונות שיקפו ריבית שלילית של בין 0.5%- ל-1%- ואילו התוכנית השלישית כבר שיגרה את הריבית לסביבה של 3%-. </w:t>
      </w:r>
      <w:r w:rsidR="000B5383">
        <w:rPr>
          <w:rFonts w:ascii="Almoni DL AAA" w:hAnsi="Almoni DL AAA" w:cs="Almoni DL AAA" w:hint="cs"/>
          <w:sz w:val="22"/>
          <w:szCs w:val="22"/>
          <w:rtl/>
        </w:rPr>
        <w:t>לפיכך</w:t>
      </w:r>
      <w:r w:rsidRPr="00DA7BEB">
        <w:rPr>
          <w:rFonts w:ascii="Almoni DL AAA" w:hAnsi="Almoni DL AAA" w:cs="Almoni DL AAA" w:hint="cs"/>
          <w:sz w:val="22"/>
          <w:szCs w:val="22"/>
          <w:rtl/>
        </w:rPr>
        <w:t xml:space="preserve">, מסיום </w:t>
      </w:r>
      <w:r w:rsidRPr="00DA7BEB">
        <w:rPr>
          <w:rFonts w:ascii="Almoni DL AAA" w:hAnsi="Almoni DL AAA" w:cs="Almoni DL AAA"/>
          <w:sz w:val="22"/>
          <w:szCs w:val="22"/>
        </w:rPr>
        <w:t>QE3</w:t>
      </w:r>
      <w:r w:rsidRPr="00DA7BEB">
        <w:rPr>
          <w:rFonts w:ascii="Almoni DL AAA" w:hAnsi="Almoni DL AAA" w:cs="Almoni DL AAA" w:hint="cs"/>
          <w:sz w:val="22"/>
          <w:szCs w:val="22"/>
          <w:rtl/>
        </w:rPr>
        <w:t xml:space="preserve"> ועד העלאת הריבית בסוף דצמבר נרשם ריסון של למעלה מ-300 נ"ב. </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tl/>
        </w:rPr>
        <w:lastRenderedPageBreak/>
        <w:drawing>
          <wp:inline distT="0" distB="0" distL="0" distR="0" wp14:anchorId="4AF2EB99" wp14:editId="6445370E">
            <wp:extent cx="3556635" cy="2286000"/>
            <wp:effectExtent l="0" t="0" r="5715" b="0"/>
            <wp:docPr id="4" name="תמונה 4" descr="C:\Users\Rafael.AD\Downloads\atlanta-fed_wu-xia-shadow-federal-funds-rat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afael.AD\Downloads\atlanta-fed_wu-xia-shadow-federal-funds-rate (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58918" cy="2287468"/>
                    </a:xfrm>
                    <a:prstGeom prst="rect">
                      <a:avLst/>
                    </a:prstGeom>
                    <a:noFill/>
                    <a:ln>
                      <a:noFill/>
                    </a:ln>
                  </pic:spPr>
                </pic:pic>
              </a:graphicData>
            </a:graphic>
          </wp:inline>
        </w:drawing>
      </w:r>
    </w:p>
    <w:p w:rsidR="00DA7BEB" w:rsidRDefault="00DA7BEB" w:rsidP="000B5383">
      <w:pPr>
        <w:pStyle w:val="a9"/>
        <w:numPr>
          <w:ilvl w:val="0"/>
          <w:numId w:val="28"/>
        </w:numPr>
        <w:tabs>
          <w:tab w:val="left" w:pos="374"/>
        </w:tabs>
        <w:spacing w:after="200" w:line="360" w:lineRule="auto"/>
        <w:ind w:left="360"/>
        <w:jc w:val="both"/>
        <w:rPr>
          <w:rFonts w:ascii="Almoni DL AAA" w:hAnsi="Almoni DL AAA" w:cs="Almoni DL AAA"/>
          <w:sz w:val="22"/>
          <w:szCs w:val="22"/>
        </w:rPr>
      </w:pPr>
      <w:r w:rsidRPr="00DA7BEB">
        <w:rPr>
          <w:rFonts w:ascii="Almoni DL AAA" w:hAnsi="Almoni DL AAA" w:cs="Almoni DL AAA" w:hint="cs"/>
          <w:sz w:val="22"/>
          <w:szCs w:val="22"/>
          <w:rtl/>
        </w:rPr>
        <w:t>אחד הגורמים הבולטים לעלייה בחששות מפני האטה ניכרת והסתברות גוברת למיתון ניתן למצוא בעלייה החדה במרווחים הקונצרנים שנרשמה לאחרונה. ניסיון העבר מעלה כי רמת המרווחים הנוכחית הן באג"ח המדורגות והן באג"ח זבל שיקפ</w:t>
      </w:r>
      <w:r w:rsidR="000B5383">
        <w:rPr>
          <w:rFonts w:ascii="Almoni DL AAA" w:hAnsi="Almoni DL AAA" w:cs="Almoni DL AAA" w:hint="cs"/>
          <w:sz w:val="22"/>
          <w:szCs w:val="22"/>
          <w:rtl/>
        </w:rPr>
        <w:t>ו</w:t>
      </w:r>
      <w:r w:rsidRPr="00DA7BEB">
        <w:rPr>
          <w:rFonts w:ascii="Almoni DL AAA" w:hAnsi="Almoni DL AAA" w:cs="Almoni DL AAA" w:hint="cs"/>
          <w:sz w:val="22"/>
          <w:szCs w:val="22"/>
          <w:rtl/>
        </w:rPr>
        <w:t xml:space="preserve"> בעבר </w:t>
      </w:r>
      <w:r w:rsidR="000B5383">
        <w:rPr>
          <w:rFonts w:ascii="Almoni DL AAA" w:hAnsi="Almoni DL AAA" w:cs="Almoni DL AAA" w:hint="cs"/>
          <w:sz w:val="22"/>
          <w:szCs w:val="22"/>
          <w:rtl/>
        </w:rPr>
        <w:t xml:space="preserve">ברובן תקופות של </w:t>
      </w:r>
      <w:r w:rsidRPr="00DA7BEB">
        <w:rPr>
          <w:rFonts w:ascii="Almoni DL AAA" w:hAnsi="Almoni DL AAA" w:cs="Almoni DL AAA" w:hint="cs"/>
          <w:sz w:val="22"/>
          <w:szCs w:val="22"/>
          <w:rtl/>
        </w:rPr>
        <w:t xml:space="preserve">גלישה למיתון בארה"ב. </w:t>
      </w:r>
    </w:p>
    <w:p w:rsidR="0072604D" w:rsidRDefault="0072604D" w:rsidP="0072604D">
      <w:pPr>
        <w:pStyle w:val="a9"/>
        <w:tabs>
          <w:tab w:val="left" w:pos="374"/>
        </w:tabs>
        <w:spacing w:after="200" w:line="360" w:lineRule="auto"/>
        <w:ind w:left="360"/>
        <w:jc w:val="both"/>
        <w:rPr>
          <w:rFonts w:ascii="Almoni DL AAA" w:hAnsi="Almoni DL AAA" w:cs="Almoni DL AAA"/>
          <w:sz w:val="22"/>
          <w:szCs w:val="22"/>
          <w:rtl/>
        </w:rPr>
      </w:pPr>
    </w:p>
    <w:p w:rsidR="0072604D" w:rsidRDefault="0072604D" w:rsidP="0072604D">
      <w:pPr>
        <w:pStyle w:val="a9"/>
        <w:tabs>
          <w:tab w:val="left" w:pos="374"/>
        </w:tabs>
        <w:spacing w:after="200" w:line="360" w:lineRule="auto"/>
        <w:ind w:left="360"/>
        <w:jc w:val="both"/>
        <w:rPr>
          <w:rFonts w:ascii="Almoni DL AAA" w:hAnsi="Almoni DL AAA" w:cs="Almoni DL AAA"/>
          <w:sz w:val="22"/>
          <w:szCs w:val="22"/>
          <w:rtl/>
        </w:rPr>
      </w:pPr>
    </w:p>
    <w:p w:rsidR="0072604D" w:rsidRPr="00DA7BEB" w:rsidRDefault="0072604D" w:rsidP="0072604D">
      <w:pPr>
        <w:pStyle w:val="a9"/>
        <w:tabs>
          <w:tab w:val="left" w:pos="374"/>
        </w:tabs>
        <w:spacing w:after="200" w:line="360" w:lineRule="auto"/>
        <w:ind w:left="360"/>
        <w:jc w:val="both"/>
        <w:rPr>
          <w:rFonts w:ascii="Almoni DL AAA" w:hAnsi="Almoni DL AAA" w:cs="Almoni DL AAA"/>
          <w:sz w:val="22"/>
          <w:szCs w:val="22"/>
          <w:rtl/>
        </w:rPr>
      </w:pPr>
    </w:p>
    <w:p w:rsidR="00DA7BEB" w:rsidRPr="00DA7BEB" w:rsidRDefault="00DA7BEB" w:rsidP="00DA7BEB">
      <w:pPr>
        <w:pStyle w:val="a9"/>
        <w:tabs>
          <w:tab w:val="left" w:pos="374"/>
        </w:tabs>
        <w:spacing w:after="200" w:line="360" w:lineRule="auto"/>
        <w:ind w:left="360"/>
        <w:jc w:val="both"/>
        <w:rPr>
          <w:rFonts w:ascii="Almoni DL AAA" w:hAnsi="Almoni DL AAA" w:cs="Almoni DL AAA"/>
          <w:sz w:val="22"/>
          <w:szCs w:val="22"/>
          <w:rtl/>
        </w:rPr>
      </w:pPr>
      <w:r w:rsidRPr="00DA7BEB">
        <w:rPr>
          <w:rFonts w:hint="cs"/>
          <w:noProof/>
        </w:rPr>
        <w:drawing>
          <wp:inline distT="0" distB="0" distL="0" distR="0" wp14:anchorId="68BCE8B9" wp14:editId="3238E4CA">
            <wp:extent cx="2397747" cy="1767385"/>
            <wp:effectExtent l="0" t="0" r="3175" b="4445"/>
            <wp:docPr id="18" name="תמונה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8458" cy="1782651"/>
                    </a:xfrm>
                    <a:prstGeom prst="rect">
                      <a:avLst/>
                    </a:prstGeom>
                    <a:noFill/>
                    <a:ln>
                      <a:noFill/>
                    </a:ln>
                  </pic:spPr>
                </pic:pic>
              </a:graphicData>
            </a:graphic>
          </wp:inline>
        </w:drawing>
      </w:r>
      <w:r w:rsidRPr="00DA7BEB">
        <w:rPr>
          <w:rFonts w:hint="cs"/>
          <w:noProof/>
        </w:rPr>
        <w:drawing>
          <wp:inline distT="0" distB="0" distL="0" distR="0" wp14:anchorId="4BADDC38" wp14:editId="67E62B14">
            <wp:extent cx="2247559" cy="1787857"/>
            <wp:effectExtent l="0" t="0" r="635" b="3175"/>
            <wp:docPr id="19"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58590" cy="1796632"/>
                    </a:xfrm>
                    <a:prstGeom prst="rect">
                      <a:avLst/>
                    </a:prstGeom>
                    <a:noFill/>
                    <a:ln>
                      <a:noFill/>
                    </a:ln>
                  </pic:spPr>
                </pic:pic>
              </a:graphicData>
            </a:graphic>
          </wp:inline>
        </w:drawing>
      </w:r>
    </w:p>
    <w:p w:rsidR="00DA7BEB" w:rsidRPr="00DA7BEB" w:rsidRDefault="00DA7BEB" w:rsidP="00DA7BEB">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ההרעה בתמונת המצב ובפרט בתנאים הפיננסיים אמנם הובילה את השווקים להפחית כמעט לחלוטין את ההסתברות להעלאת ריבית בארה"ב השנה</w:t>
      </w:r>
      <w:r w:rsidR="0072604D">
        <w:rPr>
          <w:rFonts w:ascii="Almoni DL AAA" w:hAnsi="Almoni DL AAA" w:cs="Almoni DL AAA" w:hint="cs"/>
          <w:sz w:val="22"/>
          <w:szCs w:val="22"/>
          <w:rtl/>
        </w:rPr>
        <w:t xml:space="preserve"> </w:t>
      </w:r>
      <w:r w:rsidRPr="00DA7BEB">
        <w:rPr>
          <w:rFonts w:ascii="Almoni DL AAA" w:hAnsi="Almoni DL AAA" w:cs="Almoni DL AAA" w:hint="cs"/>
          <w:sz w:val="22"/>
          <w:szCs w:val="22"/>
          <w:rtl/>
        </w:rPr>
        <w:t>(ולפרקים אף לגלם הסתברות להפחתת ריבית) אך הם עדיין לא מספיקים בכדי להוביל לשינוי בקרב חברי ה-</w:t>
      </w:r>
      <w:r w:rsidRPr="00DA7BEB">
        <w:rPr>
          <w:rFonts w:ascii="Almoni DL AAA" w:hAnsi="Almoni DL AAA" w:cs="Almoni DL AAA"/>
          <w:sz w:val="22"/>
          <w:szCs w:val="22"/>
        </w:rPr>
        <w:t>FED</w:t>
      </w:r>
      <w:r w:rsidRPr="00DA7BEB">
        <w:rPr>
          <w:rFonts w:ascii="Almoni DL AAA" w:hAnsi="Almoni DL AAA" w:cs="Almoni DL AAA" w:hint="cs"/>
          <w:sz w:val="22"/>
          <w:szCs w:val="22"/>
          <w:rtl/>
        </w:rPr>
        <w:t xml:space="preserve">. </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lastRenderedPageBreak/>
        <w:drawing>
          <wp:inline distT="0" distB="0" distL="0" distR="0" wp14:anchorId="4EF188F3" wp14:editId="231FC080">
            <wp:extent cx="3265505" cy="1992573"/>
            <wp:effectExtent l="0" t="0" r="0" b="0"/>
            <wp:docPr id="2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5105" cy="1992329"/>
                    </a:xfrm>
                    <a:prstGeom prst="rect">
                      <a:avLst/>
                    </a:prstGeom>
                    <a:noFill/>
                  </pic:spPr>
                </pic:pic>
              </a:graphicData>
            </a:graphic>
          </wp:inline>
        </w:drawing>
      </w:r>
    </w:p>
    <w:p w:rsidR="00DA7BEB" w:rsidRPr="00DA7BEB" w:rsidRDefault="00DA7BEB" w:rsidP="00DA7BEB">
      <w:pPr>
        <w:tabs>
          <w:tab w:val="left" w:pos="374"/>
        </w:tabs>
        <w:bidi/>
        <w:spacing w:after="200" w:line="360" w:lineRule="auto"/>
        <w:ind w:left="-360"/>
        <w:jc w:val="both"/>
        <w:rPr>
          <w:rFonts w:ascii="Almoni DL AAA" w:hAnsi="Almoni DL AAA" w:cs="Almoni DL AAA"/>
          <w:sz w:val="22"/>
          <w:szCs w:val="22"/>
          <w:rtl/>
          <w:lang w:bidi="he-IL"/>
        </w:rPr>
      </w:pPr>
    </w:p>
    <w:p w:rsidR="00DA7BEB" w:rsidRPr="00DA7BEB" w:rsidRDefault="00DA7BEB" w:rsidP="000B5383">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אמנם ההצהרות האחרונות הן מצד סטנלי פישר והן מצד ג'נט ילן הכירו מן הסתם בהרעה בשווקים הפיננסיים והציבו אותם כגורם מפתח למדיניות העתידית, אך המסר הכללי הוא עדיין צפי לשיפור בכלכלה שיאפשר העלאה הדרגתית של הריבית. אם צריך להמחיש את גישת ה-</w:t>
      </w:r>
      <w:r w:rsidRPr="00DA7BEB">
        <w:rPr>
          <w:rFonts w:ascii="Almoni DL AAA" w:hAnsi="Almoni DL AAA" w:cs="Almoni DL AAA"/>
          <w:sz w:val="22"/>
          <w:szCs w:val="22"/>
        </w:rPr>
        <w:t xml:space="preserve">FED </w:t>
      </w:r>
      <w:r w:rsidRPr="00DA7BEB">
        <w:rPr>
          <w:rFonts w:ascii="Almoni DL AAA" w:hAnsi="Almoni DL AAA" w:cs="Almoni DL AAA" w:hint="cs"/>
          <w:sz w:val="22"/>
          <w:szCs w:val="22"/>
          <w:rtl/>
        </w:rPr>
        <w:t xml:space="preserve"> להתפתחויות בשווקים בתחילת השנה אפשר להיעזר בנאומו האחרון של סטנלי פישר. פישר הצביע על כך שה-</w:t>
      </w:r>
      <w:r w:rsidRPr="00DA7BEB">
        <w:rPr>
          <w:rFonts w:ascii="Almoni DL AAA" w:hAnsi="Almoni DL AAA" w:cs="Almoni DL AAA"/>
          <w:sz w:val="22"/>
          <w:szCs w:val="22"/>
        </w:rPr>
        <w:t>FED</w:t>
      </w:r>
      <w:r w:rsidRPr="00DA7BEB">
        <w:rPr>
          <w:rFonts w:ascii="Almoni DL AAA" w:hAnsi="Almoni DL AAA" w:cs="Almoni DL AAA" w:hint="cs"/>
          <w:sz w:val="22"/>
          <w:szCs w:val="22"/>
          <w:rtl/>
        </w:rPr>
        <w:t xml:space="preserve"> למעשה "ניכווה" במהלך 2011 מהסיגנל השלילי שסיפקו השווקים בנוגע להידרדרות בסביבה הפיננסית והכלכלית, התפתחות שבסופו של דבר הותירה חותם מתון בלבד על הצמיחה בפועל. מכאן, שה-</w:t>
      </w:r>
      <w:r w:rsidRPr="00DA7BEB">
        <w:rPr>
          <w:rFonts w:ascii="Almoni DL AAA" w:hAnsi="Almoni DL AAA" w:cs="Almoni DL AAA"/>
          <w:sz w:val="22"/>
          <w:szCs w:val="22"/>
        </w:rPr>
        <w:t>FED</w:t>
      </w:r>
      <w:r w:rsidRPr="00DA7BEB">
        <w:rPr>
          <w:rFonts w:ascii="Almoni DL AAA" w:hAnsi="Almoni DL AAA" w:cs="Almoni DL AAA" w:hint="cs"/>
          <w:sz w:val="22"/>
          <w:szCs w:val="22"/>
          <w:rtl/>
        </w:rPr>
        <w:t xml:space="preserve"> של 2016 ימתין להתבהרות נוספת בתמונה הכללית לפני נקיטת צעדים לכאן או לכאן. באמירה זו מסמל ה-</w:t>
      </w:r>
      <w:r w:rsidRPr="00DA7BEB">
        <w:rPr>
          <w:rFonts w:ascii="Almoni DL AAA" w:hAnsi="Almoni DL AAA" w:cs="Almoni DL AAA"/>
          <w:sz w:val="22"/>
          <w:szCs w:val="22"/>
        </w:rPr>
        <w:t>FED</w:t>
      </w:r>
      <w:r w:rsidRPr="00DA7BEB">
        <w:rPr>
          <w:rFonts w:ascii="Almoni DL AAA" w:hAnsi="Almoni DL AAA" w:cs="Almoni DL AAA" w:hint="cs"/>
          <w:sz w:val="22"/>
          <w:szCs w:val="22"/>
          <w:rtl/>
        </w:rPr>
        <w:t xml:space="preserve"> כי הוא צפוי להימצא מאחורי העקום בתרחיש  של הידרדרות. </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drawing>
          <wp:inline distT="0" distB="0" distL="0" distR="0" wp14:anchorId="0A123F58" wp14:editId="7914B98E">
            <wp:extent cx="3275463" cy="1998648"/>
            <wp:effectExtent l="0" t="0" r="1270" b="1905"/>
            <wp:docPr id="23" name="תמונה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78122" cy="2000271"/>
                    </a:xfrm>
                    <a:prstGeom prst="rect">
                      <a:avLst/>
                    </a:prstGeom>
                    <a:noFill/>
                  </pic:spPr>
                </pic:pic>
              </a:graphicData>
            </a:graphic>
          </wp:inline>
        </w:drawing>
      </w:r>
    </w:p>
    <w:p w:rsidR="00DA7BEB" w:rsidRPr="00DA7BEB" w:rsidRDefault="000B5383" w:rsidP="000B5383">
      <w:pPr>
        <w:pStyle w:val="a9"/>
        <w:numPr>
          <w:ilvl w:val="0"/>
          <w:numId w:val="28"/>
        </w:numPr>
        <w:tabs>
          <w:tab w:val="left" w:pos="374"/>
        </w:tabs>
        <w:spacing w:after="200" w:line="360" w:lineRule="auto"/>
        <w:ind w:left="360"/>
        <w:jc w:val="both"/>
        <w:rPr>
          <w:rFonts w:ascii="Almoni DL AAA" w:hAnsi="Almoni DL AAA" w:cs="Almoni DL AAA"/>
          <w:sz w:val="22"/>
          <w:szCs w:val="22"/>
          <w:rtl/>
        </w:rPr>
      </w:pPr>
      <w:r>
        <w:rPr>
          <w:rFonts w:ascii="Almoni DL AAA" w:hAnsi="Almoni DL AAA" w:cs="Almoni DL AAA" w:hint="cs"/>
          <w:sz w:val="22"/>
          <w:szCs w:val="22"/>
          <w:rtl/>
        </w:rPr>
        <w:t>אחת מ</w:t>
      </w:r>
      <w:r w:rsidR="00DA7BEB" w:rsidRPr="00DA7BEB">
        <w:rPr>
          <w:rFonts w:ascii="Almoni DL AAA" w:hAnsi="Almoni DL AAA" w:cs="Almoni DL AAA" w:hint="cs"/>
          <w:sz w:val="22"/>
          <w:szCs w:val="22"/>
          <w:rtl/>
        </w:rPr>
        <w:t>שאל</w:t>
      </w:r>
      <w:r>
        <w:rPr>
          <w:rFonts w:ascii="Almoni DL AAA" w:hAnsi="Almoni DL AAA" w:cs="Almoni DL AAA" w:hint="cs"/>
          <w:sz w:val="22"/>
          <w:szCs w:val="22"/>
          <w:rtl/>
        </w:rPr>
        <w:t>ו</w:t>
      </w:r>
      <w:r w:rsidR="00DA7BEB" w:rsidRPr="00DA7BEB">
        <w:rPr>
          <w:rFonts w:ascii="Almoni DL AAA" w:hAnsi="Almoni DL AAA" w:cs="Almoni DL AAA" w:hint="cs"/>
          <w:sz w:val="22"/>
          <w:szCs w:val="22"/>
          <w:rtl/>
        </w:rPr>
        <w:t xml:space="preserve">ת המפתח </w:t>
      </w:r>
      <w:r>
        <w:rPr>
          <w:rFonts w:ascii="Almoni DL AAA" w:hAnsi="Almoni DL AAA" w:cs="Almoni DL AAA" w:hint="cs"/>
          <w:sz w:val="22"/>
          <w:szCs w:val="22"/>
          <w:rtl/>
        </w:rPr>
        <w:t xml:space="preserve">העולות היום נוכח ההאטה הגלובלית </w:t>
      </w:r>
      <w:r w:rsidR="00DA7BEB" w:rsidRPr="00DA7BEB">
        <w:rPr>
          <w:rFonts w:ascii="Almoni DL AAA" w:hAnsi="Almoni DL AAA" w:cs="Almoni DL AAA" w:hint="cs"/>
          <w:sz w:val="22"/>
          <w:szCs w:val="22"/>
          <w:rtl/>
        </w:rPr>
        <w:t xml:space="preserve">היא </w:t>
      </w:r>
      <w:r>
        <w:rPr>
          <w:rFonts w:ascii="Almoni DL AAA" w:hAnsi="Almoni DL AAA" w:cs="Almoni DL AAA" w:hint="cs"/>
          <w:sz w:val="22"/>
          <w:szCs w:val="22"/>
          <w:rtl/>
        </w:rPr>
        <w:t xml:space="preserve">בנוגע לארסנל הכלים הפוחת ובפרט מידת </w:t>
      </w:r>
      <w:r w:rsidR="00DA7BEB" w:rsidRPr="00DA7BEB">
        <w:rPr>
          <w:rFonts w:ascii="Almoni DL AAA" w:hAnsi="Almoni DL AAA" w:cs="Almoni DL AAA" w:hint="cs"/>
          <w:sz w:val="22"/>
          <w:szCs w:val="22"/>
          <w:rtl/>
        </w:rPr>
        <w:t xml:space="preserve">האפקטיביות של המדיניות המוניטרית. השווקים מציבים סימן שאלה לאחר מספר שנים של מדיניות מוניטארית חסרת תקדים </w:t>
      </w:r>
      <w:r>
        <w:rPr>
          <w:rFonts w:ascii="Almoni DL AAA" w:hAnsi="Almoni DL AAA" w:cs="Almoni DL AAA" w:hint="cs"/>
          <w:sz w:val="22"/>
          <w:szCs w:val="22"/>
          <w:rtl/>
        </w:rPr>
        <w:t>שהובילה ל</w:t>
      </w:r>
      <w:r w:rsidR="00DA7BEB" w:rsidRPr="00DA7BEB">
        <w:rPr>
          <w:rFonts w:ascii="Almoni DL AAA" w:hAnsi="Almoni DL AAA" w:cs="Almoni DL AAA" w:hint="cs"/>
          <w:sz w:val="22"/>
          <w:szCs w:val="22"/>
          <w:rtl/>
        </w:rPr>
        <w:t xml:space="preserve">צמיחה מתונה </w:t>
      </w:r>
      <w:r>
        <w:rPr>
          <w:rFonts w:ascii="Almoni DL AAA" w:hAnsi="Almoni DL AAA" w:cs="Almoni DL AAA" w:hint="cs"/>
          <w:sz w:val="22"/>
          <w:szCs w:val="22"/>
          <w:rtl/>
        </w:rPr>
        <w:t xml:space="preserve">שאף </w:t>
      </w:r>
      <w:r w:rsidRPr="00DA7BEB">
        <w:rPr>
          <w:rFonts w:ascii="Almoni DL AAA" w:hAnsi="Almoni DL AAA" w:cs="Almoni DL AAA" w:hint="cs"/>
          <w:sz w:val="22"/>
          <w:szCs w:val="22"/>
          <w:rtl/>
        </w:rPr>
        <w:t>דועכת</w:t>
      </w:r>
      <w:r w:rsidRPr="000B5383">
        <w:rPr>
          <w:rFonts w:ascii="Almoni DL AAA" w:hAnsi="Almoni DL AAA" w:cs="Almoni DL AAA" w:hint="cs"/>
          <w:sz w:val="22"/>
          <w:szCs w:val="22"/>
          <w:rtl/>
        </w:rPr>
        <w:t xml:space="preserve"> </w:t>
      </w:r>
      <w:r w:rsidRPr="00DA7BEB">
        <w:rPr>
          <w:rFonts w:ascii="Almoni DL AAA" w:hAnsi="Almoni DL AAA" w:cs="Almoni DL AAA" w:hint="cs"/>
          <w:sz w:val="22"/>
          <w:szCs w:val="22"/>
          <w:rtl/>
        </w:rPr>
        <w:t>לאחרונה</w:t>
      </w:r>
      <w:r w:rsidR="00DA7BEB" w:rsidRPr="00DA7BEB">
        <w:rPr>
          <w:rFonts w:ascii="Almoni DL AAA" w:hAnsi="Almoni DL AAA" w:cs="Almoni DL AAA" w:hint="cs"/>
          <w:sz w:val="22"/>
          <w:szCs w:val="22"/>
          <w:rtl/>
        </w:rPr>
        <w:t>. התגובות הפושרות שנרשמו בחודשים האחרונים לצעדים המרחיבים באירופה וביפן  מובילים למסקנה כי השווקים מאמצים את הצדדים השלילים של הריבית השלילית</w:t>
      </w:r>
      <w:r>
        <w:rPr>
          <w:rFonts w:ascii="Almoni DL AAA" w:hAnsi="Almoni DL AAA" w:cs="Almoni DL AAA" w:hint="cs"/>
          <w:sz w:val="22"/>
          <w:szCs w:val="22"/>
          <w:rtl/>
        </w:rPr>
        <w:t>, וביניה</w:t>
      </w:r>
      <w:r>
        <w:rPr>
          <w:rFonts w:ascii="Almoni DL AAA" w:hAnsi="Almoni DL AAA" w:cs="Almoni DL AAA" w:hint="eastAsia"/>
          <w:sz w:val="22"/>
          <w:szCs w:val="22"/>
          <w:rtl/>
        </w:rPr>
        <w:t>ם</w:t>
      </w:r>
      <w:r>
        <w:rPr>
          <w:rFonts w:ascii="Almoni DL AAA" w:hAnsi="Almoni DL AAA" w:cs="Almoni DL AAA" w:hint="cs"/>
          <w:sz w:val="22"/>
          <w:szCs w:val="22"/>
          <w:rtl/>
        </w:rPr>
        <w:t>:</w:t>
      </w:r>
      <w:r w:rsidR="00DA7BEB" w:rsidRPr="00DA7BEB">
        <w:rPr>
          <w:rFonts w:ascii="Almoni DL AAA" w:hAnsi="Almoni DL AAA" w:cs="Almoni DL AAA" w:hint="cs"/>
          <w:sz w:val="22"/>
          <w:szCs w:val="22"/>
          <w:rtl/>
        </w:rPr>
        <w:t xml:space="preserve"> הסיגנל הנגזר מנקיטת צעדים לא קונבנציונאליים בשל המצב </w:t>
      </w:r>
      <w:r w:rsidR="0072604D">
        <w:rPr>
          <w:rFonts w:ascii="Almoni DL AAA" w:hAnsi="Almoni DL AAA" w:cs="Almoni DL AAA" w:hint="cs"/>
          <w:sz w:val="22"/>
          <w:szCs w:val="22"/>
          <w:rtl/>
        </w:rPr>
        <w:t>ה</w:t>
      </w:r>
      <w:r w:rsidR="00DA7BEB" w:rsidRPr="00DA7BEB">
        <w:rPr>
          <w:rFonts w:ascii="Almoni DL AAA" w:hAnsi="Almoni DL AAA" w:cs="Almoni DL AAA" w:hint="cs"/>
          <w:sz w:val="22"/>
          <w:szCs w:val="22"/>
          <w:rtl/>
        </w:rPr>
        <w:t xml:space="preserve">מידרדר ואת הפגיעה ברווחיות הבנקים כתוצאה מהריבית השלילית ומההאטה בפעילות. </w:t>
      </w:r>
    </w:p>
    <w:p w:rsidR="00C408CC" w:rsidRDefault="00DA7BEB" w:rsidP="00C408CC">
      <w:pPr>
        <w:pStyle w:val="a9"/>
        <w:numPr>
          <w:ilvl w:val="0"/>
          <w:numId w:val="28"/>
        </w:numPr>
        <w:tabs>
          <w:tab w:val="left" w:pos="374"/>
        </w:tabs>
        <w:spacing w:after="200" w:line="360" w:lineRule="auto"/>
        <w:ind w:left="360"/>
        <w:jc w:val="both"/>
        <w:rPr>
          <w:rFonts w:ascii="Almoni DL AAA" w:hAnsi="Almoni DL AAA" w:cs="Almoni DL AAA"/>
          <w:sz w:val="22"/>
          <w:szCs w:val="22"/>
        </w:rPr>
      </w:pPr>
      <w:r w:rsidRPr="00C408CC">
        <w:rPr>
          <w:rFonts w:ascii="Almoni DL AAA" w:hAnsi="Almoni DL AAA" w:cs="Almoni DL AAA" w:hint="cs"/>
          <w:sz w:val="22"/>
          <w:szCs w:val="22"/>
          <w:rtl/>
        </w:rPr>
        <w:lastRenderedPageBreak/>
        <w:t xml:space="preserve">במהלך </w:t>
      </w:r>
      <w:r w:rsidR="0072604D">
        <w:rPr>
          <w:rFonts w:ascii="Almoni DL AAA" w:hAnsi="Almoni DL AAA" w:cs="Almoni DL AAA" w:hint="cs"/>
          <w:sz w:val="22"/>
          <w:szCs w:val="22"/>
          <w:rtl/>
        </w:rPr>
        <w:t xml:space="preserve">חודש </w:t>
      </w:r>
      <w:r w:rsidRPr="00C408CC">
        <w:rPr>
          <w:rFonts w:ascii="Almoni DL AAA" w:hAnsi="Almoni DL AAA" w:cs="Almoni DL AAA" w:hint="cs"/>
          <w:sz w:val="22"/>
          <w:szCs w:val="22"/>
          <w:rtl/>
        </w:rPr>
        <w:t xml:space="preserve">מרץ צפויות שתי פגישות </w:t>
      </w:r>
      <w:r w:rsidR="000B5383">
        <w:rPr>
          <w:rFonts w:ascii="Almoni DL AAA" w:hAnsi="Almoni DL AAA" w:cs="Almoni DL AAA" w:hint="cs"/>
          <w:sz w:val="22"/>
          <w:szCs w:val="22"/>
          <w:rtl/>
        </w:rPr>
        <w:t xml:space="preserve">של בנקים מרכזיים </w:t>
      </w:r>
      <w:r w:rsidRPr="00C408CC">
        <w:rPr>
          <w:rFonts w:ascii="Almoni DL AAA" w:hAnsi="Almoni DL AAA" w:cs="Almoni DL AAA" w:hint="cs"/>
          <w:sz w:val="22"/>
          <w:szCs w:val="22"/>
          <w:rtl/>
        </w:rPr>
        <w:t>שירכזו עניין: האחת של ה-</w:t>
      </w:r>
      <w:r w:rsidRPr="00C408CC">
        <w:rPr>
          <w:rFonts w:ascii="Almoni DL AAA" w:hAnsi="Almoni DL AAA" w:cs="Almoni DL AAA"/>
          <w:sz w:val="22"/>
          <w:szCs w:val="22"/>
        </w:rPr>
        <w:t xml:space="preserve"> ECB </w:t>
      </w:r>
      <w:r w:rsidRPr="00C408CC">
        <w:rPr>
          <w:rFonts w:ascii="Almoni DL AAA" w:hAnsi="Almoni DL AAA" w:cs="Almoni DL AAA" w:hint="cs"/>
          <w:sz w:val="22"/>
          <w:szCs w:val="22"/>
          <w:rtl/>
        </w:rPr>
        <w:t>והשנייה של ה-</w:t>
      </w:r>
      <w:r w:rsidRPr="00C408CC">
        <w:rPr>
          <w:rFonts w:ascii="Almoni DL AAA" w:hAnsi="Almoni DL AAA" w:cs="Almoni DL AAA"/>
          <w:sz w:val="22"/>
          <w:szCs w:val="22"/>
        </w:rPr>
        <w:t>FED</w:t>
      </w:r>
      <w:r w:rsidRPr="00C408CC">
        <w:rPr>
          <w:rFonts w:ascii="Almoni DL AAA" w:hAnsi="Almoni DL AAA" w:cs="Almoni DL AAA" w:hint="cs"/>
          <w:sz w:val="22"/>
          <w:szCs w:val="22"/>
          <w:rtl/>
        </w:rPr>
        <w:t>. השווקים העלו בימים האחרונים את ההסתברות להעלאת ריבית במהלך השנה הקרובה, אך באופן כללי וכפי שהצבענו בסקירותינו בחודשים האחרונים, ה-</w:t>
      </w:r>
      <w:r w:rsidRPr="00C408CC">
        <w:rPr>
          <w:rFonts w:ascii="Almoni DL AAA" w:hAnsi="Almoni DL AAA" w:cs="Almoni DL AAA"/>
          <w:sz w:val="22"/>
          <w:szCs w:val="22"/>
        </w:rPr>
        <w:t xml:space="preserve"> FED </w:t>
      </w:r>
      <w:r w:rsidRPr="00C408CC">
        <w:rPr>
          <w:rFonts w:ascii="Almoni DL AAA" w:hAnsi="Almoni DL AAA" w:cs="Almoni DL AAA" w:hint="cs"/>
          <w:sz w:val="22"/>
          <w:szCs w:val="22"/>
          <w:rtl/>
        </w:rPr>
        <w:t xml:space="preserve">בחר בעיתוי בעייתי לצאת למהלך של העלאות ריבית ולכן לא הופתענו לראות את השוק סוגר עבורו במהירות את חלון ההזדמנויות להעלאת ריבית. </w:t>
      </w:r>
    </w:p>
    <w:p w:rsidR="00DA7BEB" w:rsidRDefault="00DA7BEB" w:rsidP="0007177A">
      <w:pPr>
        <w:pStyle w:val="a9"/>
        <w:numPr>
          <w:ilvl w:val="0"/>
          <w:numId w:val="28"/>
        </w:numPr>
        <w:tabs>
          <w:tab w:val="left" w:pos="374"/>
        </w:tabs>
        <w:spacing w:after="200" w:line="360" w:lineRule="auto"/>
        <w:ind w:left="360"/>
        <w:jc w:val="both"/>
        <w:rPr>
          <w:rFonts w:ascii="Almoni DL AAA" w:hAnsi="Almoni DL AAA" w:cs="Almoni DL AAA"/>
          <w:sz w:val="22"/>
          <w:szCs w:val="22"/>
        </w:rPr>
      </w:pPr>
      <w:r w:rsidRPr="00C408CC">
        <w:rPr>
          <w:rFonts w:ascii="Almoni DL AAA" w:hAnsi="Almoni DL AAA" w:cs="Almoni DL AAA" w:hint="cs"/>
          <w:sz w:val="22"/>
          <w:szCs w:val="22"/>
          <w:rtl/>
        </w:rPr>
        <w:t>המבחן של ה-</w:t>
      </w:r>
      <w:r w:rsidRPr="00C408CC">
        <w:rPr>
          <w:rFonts w:ascii="Almoni DL AAA" w:hAnsi="Almoni DL AAA" w:cs="Almoni DL AAA"/>
          <w:sz w:val="22"/>
          <w:szCs w:val="22"/>
        </w:rPr>
        <w:t xml:space="preserve">ECB </w:t>
      </w:r>
      <w:r w:rsidRPr="00C408CC">
        <w:rPr>
          <w:rFonts w:ascii="Almoni DL AAA" w:hAnsi="Almoni DL AAA" w:cs="Almoni DL AAA" w:hint="cs"/>
          <w:sz w:val="22"/>
          <w:szCs w:val="22"/>
          <w:rtl/>
        </w:rPr>
        <w:t xml:space="preserve"> במהלך מרץ הוא מורכב יותר: מחד, סב</w:t>
      </w:r>
      <w:r w:rsidR="000B5383">
        <w:rPr>
          <w:rFonts w:ascii="Almoni DL AAA" w:hAnsi="Almoni DL AAA" w:cs="Almoni DL AAA" w:hint="cs"/>
          <w:sz w:val="22"/>
          <w:szCs w:val="22"/>
          <w:rtl/>
        </w:rPr>
        <w:t>י</w:t>
      </w:r>
      <w:r w:rsidRPr="00C408CC">
        <w:rPr>
          <w:rFonts w:ascii="Almoni DL AAA" w:hAnsi="Almoni DL AAA" w:cs="Almoni DL AAA" w:hint="cs"/>
          <w:sz w:val="22"/>
          <w:szCs w:val="22"/>
          <w:rtl/>
        </w:rPr>
        <w:t>בת הפעילות והאינפלציה החלה להידרדר מחדש, פועל יוצא של התפוגגות השפעת הצעדים האגרסיביים שנלקחו בתחילת 2015. מד</w:t>
      </w:r>
      <w:r w:rsidR="000B5383">
        <w:rPr>
          <w:rFonts w:ascii="Almoni DL AAA" w:hAnsi="Almoni DL AAA" w:cs="Almoni DL AAA" w:hint="cs"/>
          <w:sz w:val="22"/>
          <w:szCs w:val="22"/>
          <w:rtl/>
        </w:rPr>
        <w:t>ד</w:t>
      </w:r>
      <w:r w:rsidRPr="00C408CC">
        <w:rPr>
          <w:rFonts w:ascii="Almoni DL AAA" w:hAnsi="Almoni DL AAA" w:cs="Almoni DL AAA" w:hint="cs"/>
          <w:sz w:val="22"/>
          <w:szCs w:val="22"/>
          <w:rtl/>
        </w:rPr>
        <w:t>י מנהלי הרכש לח</w:t>
      </w:r>
      <w:r w:rsidR="0007177A">
        <w:rPr>
          <w:rFonts w:ascii="Almoni DL AAA" w:hAnsi="Almoni DL AAA" w:cs="Almoni DL AAA" w:hint="cs"/>
          <w:sz w:val="22"/>
          <w:szCs w:val="22"/>
          <w:rtl/>
        </w:rPr>
        <w:t>ו</w:t>
      </w:r>
      <w:r w:rsidRPr="00C408CC">
        <w:rPr>
          <w:rFonts w:ascii="Almoni DL AAA" w:hAnsi="Almoni DL AAA" w:cs="Almoni DL AAA" w:hint="cs"/>
          <w:sz w:val="22"/>
          <w:szCs w:val="22"/>
          <w:rtl/>
        </w:rPr>
        <w:t xml:space="preserve">דש פברואר רשמו ירידה נוספת והם מתכנסים למגמה העולמית. האינפלציה בפברואר הפתיעה כלפי מטה כך שהמדד הכללי חזר </w:t>
      </w:r>
      <w:r w:rsidR="000B5383" w:rsidRPr="00C408CC">
        <w:rPr>
          <w:rFonts w:ascii="Almoni DL AAA" w:hAnsi="Almoni DL AAA" w:cs="Almoni DL AAA" w:hint="cs"/>
          <w:sz w:val="22"/>
          <w:szCs w:val="22"/>
          <w:rtl/>
        </w:rPr>
        <w:t>לטריטוריה</w:t>
      </w:r>
      <w:r w:rsidRPr="00C408CC">
        <w:rPr>
          <w:rFonts w:ascii="Almoni DL AAA" w:hAnsi="Almoni DL AAA" w:cs="Almoni DL AAA" w:hint="cs"/>
          <w:sz w:val="22"/>
          <w:szCs w:val="22"/>
          <w:rtl/>
        </w:rPr>
        <w:t xml:space="preserve"> שלילית (0.2%-)</w:t>
      </w:r>
      <w:r w:rsidR="000B5383">
        <w:rPr>
          <w:rFonts w:ascii="Almoni DL AAA" w:hAnsi="Almoni DL AAA" w:cs="Almoni DL AAA" w:hint="cs"/>
          <w:sz w:val="22"/>
          <w:szCs w:val="22"/>
          <w:rtl/>
        </w:rPr>
        <w:t>.</w:t>
      </w:r>
      <w:r w:rsidRPr="00C408CC">
        <w:rPr>
          <w:rFonts w:ascii="Almoni DL AAA" w:hAnsi="Almoni DL AAA" w:cs="Almoni DL AAA" w:hint="cs"/>
          <w:sz w:val="22"/>
          <w:szCs w:val="22"/>
          <w:rtl/>
        </w:rPr>
        <w:t xml:space="preserve"> אינפלציית הליבה ירדה </w:t>
      </w:r>
      <w:r w:rsidR="000B5383">
        <w:rPr>
          <w:rFonts w:ascii="Almoni DL AAA" w:hAnsi="Almoni DL AAA" w:cs="Almoni DL AAA" w:hint="cs"/>
          <w:sz w:val="22"/>
          <w:szCs w:val="22"/>
          <w:rtl/>
        </w:rPr>
        <w:t>אף היא (</w:t>
      </w:r>
      <w:r w:rsidRPr="00C408CC">
        <w:rPr>
          <w:rFonts w:ascii="Almoni DL AAA" w:hAnsi="Almoni DL AAA" w:cs="Almoni DL AAA" w:hint="cs"/>
          <w:sz w:val="22"/>
          <w:szCs w:val="22"/>
          <w:rtl/>
        </w:rPr>
        <w:t>ל-0.7%</w:t>
      </w:r>
      <w:r w:rsidR="000B5383">
        <w:rPr>
          <w:rFonts w:ascii="Almoni DL AAA" w:hAnsi="Almoni DL AAA" w:cs="Almoni DL AAA" w:hint="cs"/>
          <w:sz w:val="22"/>
          <w:szCs w:val="22"/>
          <w:rtl/>
        </w:rPr>
        <w:t>)</w:t>
      </w:r>
      <w:r w:rsidRPr="00C408CC">
        <w:rPr>
          <w:rFonts w:ascii="Almoni DL AAA" w:hAnsi="Almoni DL AAA" w:cs="Almoni DL AAA" w:hint="cs"/>
          <w:sz w:val="22"/>
          <w:szCs w:val="22"/>
          <w:rtl/>
        </w:rPr>
        <w:t>, ומתקרבת חזרה לרמת השפל (0.6%) שנרש</w:t>
      </w:r>
      <w:r w:rsidR="000B5383">
        <w:rPr>
          <w:rFonts w:ascii="Almoni DL AAA" w:hAnsi="Almoni DL AAA" w:cs="Almoni DL AAA" w:hint="cs"/>
          <w:sz w:val="22"/>
          <w:szCs w:val="22"/>
          <w:rtl/>
        </w:rPr>
        <w:t>מה</w:t>
      </w:r>
      <w:r w:rsidRPr="00C408CC">
        <w:rPr>
          <w:rFonts w:ascii="Almoni DL AAA" w:hAnsi="Almoni DL AAA" w:cs="Almoni DL AAA" w:hint="cs"/>
          <w:sz w:val="22"/>
          <w:szCs w:val="22"/>
          <w:rtl/>
        </w:rPr>
        <w:t xml:space="preserve"> במהלך המחצית הראשונה של 2015, וזאת לאחר עלייה לרמה של למעלה מ-1% במחצית השנייה של 2015. הנתונים האחרונים עשויים להקל על נגיד הבנק דרגי בוויכוח האינסופי מול התפיסה הגרמנית ב-</w:t>
      </w:r>
      <w:r w:rsidRPr="00C408CC">
        <w:rPr>
          <w:rFonts w:ascii="Almoni DL AAA" w:hAnsi="Almoni DL AAA" w:cs="Almoni DL AAA"/>
          <w:sz w:val="22"/>
          <w:szCs w:val="22"/>
        </w:rPr>
        <w:t>ECB</w:t>
      </w:r>
      <w:r w:rsidRPr="00C408CC">
        <w:rPr>
          <w:rFonts w:ascii="Almoni DL AAA" w:hAnsi="Almoni DL AAA" w:cs="Almoni DL AAA" w:hint="cs"/>
          <w:sz w:val="22"/>
          <w:szCs w:val="22"/>
          <w:rtl/>
        </w:rPr>
        <w:t xml:space="preserve">, אך ניהול הציפיות מול השווקים מאתגר למדיי בהתחשב בשחיקה של השוק מהצעדים הלא קונבנציונאליים של המדיניות המוניטארית. </w:t>
      </w:r>
    </w:p>
    <w:p w:rsidR="003E141E" w:rsidRPr="0007177A" w:rsidRDefault="0007177A" w:rsidP="0007177A">
      <w:pPr>
        <w:pStyle w:val="a9"/>
        <w:tabs>
          <w:tab w:val="left" w:pos="374"/>
        </w:tabs>
        <w:spacing w:after="200" w:line="360" w:lineRule="auto"/>
        <w:ind w:left="360"/>
        <w:jc w:val="center"/>
        <w:rPr>
          <w:rFonts w:ascii="Almoni DL AAA" w:hAnsi="Almoni DL AAA" w:cs="Almoni DL AAA"/>
          <w:sz w:val="22"/>
          <w:szCs w:val="22"/>
        </w:rPr>
      </w:pPr>
      <w:r>
        <w:rPr>
          <w:rFonts w:ascii="Almoni DL AAA" w:hAnsi="Almoni DL AAA" w:cs="Almoni DL AAA"/>
          <w:noProof/>
          <w:sz w:val="22"/>
          <w:szCs w:val="22"/>
        </w:rPr>
        <w:drawing>
          <wp:inline distT="0" distB="0" distL="0" distR="0" wp14:anchorId="24AFAF3D">
            <wp:extent cx="3656920" cy="2231409"/>
            <wp:effectExtent l="0" t="0" r="1270" b="0"/>
            <wp:docPr id="27" name="תמונה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56803" cy="2231338"/>
                    </a:xfrm>
                    <a:prstGeom prst="rect">
                      <a:avLst/>
                    </a:prstGeom>
                    <a:noFill/>
                  </pic:spPr>
                </pic:pic>
              </a:graphicData>
            </a:graphic>
          </wp:inline>
        </w:drawing>
      </w:r>
    </w:p>
    <w:p w:rsidR="0072604D" w:rsidRDefault="0072604D" w:rsidP="0072604D">
      <w:pPr>
        <w:pStyle w:val="a9"/>
        <w:tabs>
          <w:tab w:val="left" w:pos="374"/>
        </w:tabs>
        <w:spacing w:after="200" w:line="360" w:lineRule="auto"/>
        <w:ind w:left="360"/>
        <w:jc w:val="both"/>
        <w:rPr>
          <w:rFonts w:ascii="Almoni DL AAA" w:hAnsi="Almoni DL AAA" w:cs="Almoni DL AAA"/>
          <w:sz w:val="22"/>
          <w:szCs w:val="22"/>
        </w:rPr>
      </w:pPr>
    </w:p>
    <w:p w:rsidR="00DA7BEB" w:rsidRPr="00DA7BEB" w:rsidRDefault="00DA7BEB" w:rsidP="00DA7BEB">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מוקד הרעש הסיני נרגע מעט לאחרונה אך להערכתנו מדובר בשקט מדומה. ההאטה בסין דורשת צעדים מרחיבים כאשר ערוץ התמסורת המרכזי, שע"ח, נמצא במצב בעייתי. מחד, הממשל מעוניין בפיחות אך חושש מפיחות מהיר ולכן נוקט בצעדים לבלימת הפיחות, בין אם הצהרתיים ובין אם בפועל  באמצעות מכירת רזרבות וריביות גבוהות בשוק ה-</w:t>
      </w:r>
      <w:r w:rsidRPr="00DA7BEB">
        <w:rPr>
          <w:rFonts w:ascii="Almoni DL AAA" w:hAnsi="Almoni DL AAA" w:cs="Almoni DL AAA"/>
          <w:sz w:val="22"/>
          <w:szCs w:val="22"/>
        </w:rPr>
        <w:t>Offshore</w:t>
      </w:r>
      <w:r w:rsidRPr="00DA7BEB">
        <w:rPr>
          <w:rFonts w:ascii="Almoni DL AAA" w:hAnsi="Almoni DL AAA" w:cs="Almoni DL AAA" w:hint="cs"/>
          <w:sz w:val="22"/>
          <w:szCs w:val="22"/>
          <w:rtl/>
        </w:rPr>
        <w:t xml:space="preserve">. בכל אופן לדעתנו המטרה הסינית לא השתנתה והיא רצון להוביל לפיחות מדורג בשע"ח. המשמעות של פיחות זה תהיה לחצים </w:t>
      </w:r>
      <w:proofErr w:type="spellStart"/>
      <w:r w:rsidRPr="00DA7BEB">
        <w:rPr>
          <w:rFonts w:ascii="Almoni DL AAA" w:hAnsi="Almoni DL AAA" w:cs="Almoni DL AAA" w:hint="cs"/>
          <w:sz w:val="22"/>
          <w:szCs w:val="22"/>
          <w:rtl/>
        </w:rPr>
        <w:t>דפלציוניים</w:t>
      </w:r>
      <w:proofErr w:type="spellEnd"/>
      <w:r w:rsidRPr="00DA7BEB">
        <w:rPr>
          <w:rFonts w:ascii="Almoni DL AAA" w:hAnsi="Almoni DL AAA" w:cs="Almoni DL AAA" w:hint="cs"/>
          <w:sz w:val="22"/>
          <w:szCs w:val="22"/>
          <w:rtl/>
        </w:rPr>
        <w:t xml:space="preserve"> בעולם במקביל לסבב נוסף של מלחמת המטבעות.  </w:t>
      </w:r>
    </w:p>
    <w:p w:rsidR="00DA7BEB" w:rsidRPr="00DA7BEB" w:rsidRDefault="00DA7BEB" w:rsidP="00DA7BEB">
      <w:pPr>
        <w:pStyle w:val="a9"/>
        <w:numPr>
          <w:ilvl w:val="0"/>
          <w:numId w:val="28"/>
        </w:numPr>
        <w:tabs>
          <w:tab w:val="left" w:pos="374"/>
        </w:tabs>
        <w:spacing w:after="200" w:line="360" w:lineRule="auto"/>
        <w:ind w:left="360"/>
        <w:jc w:val="center"/>
        <w:rPr>
          <w:rFonts w:ascii="Almoni DL AAA" w:hAnsi="Almoni DL AAA" w:cs="Almoni DL AAA"/>
          <w:sz w:val="22"/>
          <w:szCs w:val="22"/>
          <w:rtl/>
        </w:rPr>
      </w:pPr>
      <w:r w:rsidRPr="00DA7BEB">
        <w:rPr>
          <w:noProof/>
        </w:rPr>
        <w:lastRenderedPageBreak/>
        <w:drawing>
          <wp:inline distT="0" distB="0" distL="0" distR="0" wp14:anchorId="01AEA5B1" wp14:editId="24171D5E">
            <wp:extent cx="3681570" cy="2245057"/>
            <wp:effectExtent l="0" t="0" r="0" b="3175"/>
            <wp:docPr id="21" name="תמונה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83593" cy="2246291"/>
                    </a:xfrm>
                    <a:prstGeom prst="rect">
                      <a:avLst/>
                    </a:prstGeom>
                    <a:noFill/>
                  </pic:spPr>
                </pic:pic>
              </a:graphicData>
            </a:graphic>
          </wp:inline>
        </w:drawing>
      </w:r>
    </w:p>
    <w:p w:rsidR="00DA7BEB" w:rsidRDefault="00DA7BEB" w:rsidP="0007177A">
      <w:pPr>
        <w:pStyle w:val="a9"/>
        <w:numPr>
          <w:ilvl w:val="0"/>
          <w:numId w:val="28"/>
        </w:numPr>
        <w:tabs>
          <w:tab w:val="left" w:pos="374"/>
        </w:tabs>
        <w:spacing w:after="200" w:line="360" w:lineRule="auto"/>
        <w:ind w:left="360"/>
        <w:jc w:val="both"/>
        <w:rPr>
          <w:rFonts w:ascii="Almoni DL AAA" w:hAnsi="Almoni DL AAA" w:cs="Almoni DL AAA"/>
          <w:sz w:val="22"/>
          <w:szCs w:val="22"/>
        </w:rPr>
      </w:pPr>
      <w:r w:rsidRPr="0072604D">
        <w:rPr>
          <w:rFonts w:ascii="Almoni DL AAA" w:hAnsi="Almoni DL AAA" w:cs="Almoni DL AAA" w:hint="cs"/>
          <w:b/>
          <w:bCs/>
          <w:color w:val="831519"/>
          <w:sz w:val="26"/>
          <w:szCs w:val="26"/>
          <w:rtl/>
        </w:rPr>
        <w:t>לסיכום</w:t>
      </w:r>
      <w:r w:rsidRPr="00DA7BEB">
        <w:rPr>
          <w:rFonts w:ascii="Almoni DL AAA" w:hAnsi="Almoni DL AAA" w:cs="Almoni DL AAA" w:hint="cs"/>
          <w:sz w:val="22"/>
          <w:szCs w:val="22"/>
          <w:rtl/>
        </w:rPr>
        <w:t xml:space="preserve">, בסקירותינו האחרונות הערכנו כי תנאי בסיסי לרגיעה בשווקים הוא ירידה משמעותית בתשואות איגרות החוב הממשלתיות. מהלך זה המהווה </w:t>
      </w:r>
      <w:r w:rsidR="0072604D">
        <w:rPr>
          <w:rFonts w:ascii="Almoni DL AAA" w:hAnsi="Almoni DL AAA" w:cs="Almoni DL AAA" w:hint="cs"/>
          <w:sz w:val="22"/>
          <w:szCs w:val="22"/>
          <w:rtl/>
        </w:rPr>
        <w:t>מעין מהלך הרחבה מוניטארית אכן א</w:t>
      </w:r>
      <w:r w:rsidRPr="00DA7BEB">
        <w:rPr>
          <w:rFonts w:ascii="Almoni DL AAA" w:hAnsi="Almoni DL AAA" w:cs="Almoni DL AAA" w:hint="cs"/>
          <w:sz w:val="22"/>
          <w:szCs w:val="22"/>
          <w:rtl/>
        </w:rPr>
        <w:t xml:space="preserve">פיין את החודשים הראשונים של השנה עם ירידת תשואות חדה של כ-50 נ"ב בתשואות ל-10 שנים בארה"ב ובגרמניה.  מבחינה טאקטית  סביר כי התקופה הקרובה תתאפיין ביציבות </w:t>
      </w:r>
      <w:r w:rsidR="0007177A" w:rsidRPr="00DA7BEB">
        <w:rPr>
          <w:rFonts w:ascii="Almoni DL AAA" w:hAnsi="Almoni DL AAA" w:cs="Almoni DL AAA" w:hint="cs"/>
          <w:sz w:val="22"/>
          <w:szCs w:val="22"/>
          <w:rtl/>
        </w:rPr>
        <w:t>מסוימת</w:t>
      </w:r>
      <w:r w:rsidRPr="00DA7BEB">
        <w:rPr>
          <w:rFonts w:ascii="Almoni DL AAA" w:hAnsi="Almoni DL AAA" w:cs="Almoni DL AAA" w:hint="cs"/>
          <w:sz w:val="22"/>
          <w:szCs w:val="22"/>
          <w:rtl/>
        </w:rPr>
        <w:t xml:space="preserve"> לאחר מהלך ירידת התשואות האחרון, התפתחות שמשקפת עמדת המתנה לאינדיקציות נוספות לגבי עוצמת ההאטה </w:t>
      </w:r>
      <w:r w:rsidR="0007177A" w:rsidRPr="00DA7BEB">
        <w:rPr>
          <w:rFonts w:ascii="Almoni DL AAA" w:hAnsi="Almoni DL AAA" w:cs="Almoni DL AAA" w:hint="cs"/>
          <w:sz w:val="22"/>
          <w:szCs w:val="22"/>
          <w:rtl/>
        </w:rPr>
        <w:t>הגלובלית</w:t>
      </w:r>
      <w:r w:rsidRPr="00DA7BEB">
        <w:rPr>
          <w:rFonts w:ascii="Almoni DL AAA" w:hAnsi="Almoni DL AAA" w:cs="Almoni DL AAA" w:hint="cs"/>
          <w:sz w:val="22"/>
          <w:szCs w:val="22"/>
          <w:rtl/>
        </w:rPr>
        <w:t xml:space="preserve">. אנו רואים בעמדת המתנה </w:t>
      </w:r>
      <w:r w:rsidR="0007177A">
        <w:rPr>
          <w:rFonts w:ascii="Almoni DL AAA" w:hAnsi="Almoni DL AAA" w:cs="Almoni DL AAA" w:hint="cs"/>
          <w:sz w:val="22"/>
          <w:szCs w:val="22"/>
          <w:rtl/>
        </w:rPr>
        <w:t>(</w:t>
      </w:r>
      <w:r w:rsidRPr="00DA7BEB">
        <w:rPr>
          <w:rFonts w:ascii="Almoni DL AAA" w:hAnsi="Almoni DL AAA" w:cs="Almoni DL AAA" w:hint="cs"/>
          <w:sz w:val="22"/>
          <w:szCs w:val="22"/>
          <w:rtl/>
        </w:rPr>
        <w:t>בוודאי אם היא תלווה בעליית תשואות</w:t>
      </w:r>
      <w:r w:rsidR="0007177A">
        <w:rPr>
          <w:rFonts w:ascii="Almoni DL AAA" w:hAnsi="Almoni DL AAA" w:cs="Almoni DL AAA" w:hint="cs"/>
          <w:sz w:val="22"/>
          <w:szCs w:val="22"/>
          <w:rtl/>
        </w:rPr>
        <w:t>)</w:t>
      </w:r>
      <w:r w:rsidRPr="00DA7BEB">
        <w:rPr>
          <w:rFonts w:ascii="Almoni DL AAA" w:hAnsi="Almoni DL AAA" w:cs="Almoni DL AAA" w:hint="cs"/>
          <w:sz w:val="22"/>
          <w:szCs w:val="22"/>
          <w:rtl/>
        </w:rPr>
        <w:t xml:space="preserve"> כהזדמנות נוחה להארכת תיק </w:t>
      </w:r>
      <w:proofErr w:type="spellStart"/>
      <w:r w:rsidRPr="00DA7BEB">
        <w:rPr>
          <w:rFonts w:ascii="Almoni DL AAA" w:hAnsi="Almoni DL AAA" w:cs="Almoni DL AAA" w:hint="cs"/>
          <w:sz w:val="22"/>
          <w:szCs w:val="22"/>
          <w:rtl/>
        </w:rPr>
        <w:t>האג"ח</w:t>
      </w:r>
      <w:proofErr w:type="spellEnd"/>
      <w:r w:rsidRPr="00DA7BEB">
        <w:rPr>
          <w:rFonts w:ascii="Almoni DL AAA" w:hAnsi="Almoni DL AAA" w:cs="Almoni DL AAA" w:hint="cs"/>
          <w:sz w:val="22"/>
          <w:szCs w:val="22"/>
          <w:rtl/>
        </w:rPr>
        <w:t xml:space="preserve"> הממשלתי/ או </w:t>
      </w:r>
      <w:proofErr w:type="spellStart"/>
      <w:r w:rsidRPr="00DA7BEB">
        <w:rPr>
          <w:rFonts w:ascii="Almoni DL AAA" w:hAnsi="Almoni DL AAA" w:cs="Almoni DL AAA" w:hint="cs"/>
          <w:sz w:val="22"/>
          <w:szCs w:val="22"/>
          <w:rtl/>
        </w:rPr>
        <w:t>קונצרני</w:t>
      </w:r>
      <w:proofErr w:type="spellEnd"/>
      <w:r w:rsidRPr="00DA7BEB">
        <w:rPr>
          <w:rFonts w:ascii="Almoni DL AAA" w:hAnsi="Almoni DL AAA" w:cs="Almoni DL AAA" w:hint="cs"/>
          <w:sz w:val="22"/>
          <w:szCs w:val="22"/>
          <w:rtl/>
        </w:rPr>
        <w:t xml:space="preserve"> בדירוגים גבוהים מאוד ולהקטנת חשיפה לנכ</w:t>
      </w:r>
      <w:r w:rsidR="0007177A">
        <w:rPr>
          <w:rFonts w:ascii="Almoni DL AAA" w:hAnsi="Almoni DL AAA" w:cs="Almoni DL AAA" w:hint="cs"/>
          <w:sz w:val="22"/>
          <w:szCs w:val="22"/>
          <w:rtl/>
        </w:rPr>
        <w:t>ס</w:t>
      </w:r>
      <w:r w:rsidRPr="00DA7BEB">
        <w:rPr>
          <w:rFonts w:ascii="Almoni DL AAA" w:hAnsi="Almoni DL AAA" w:cs="Almoni DL AAA" w:hint="cs"/>
          <w:sz w:val="22"/>
          <w:szCs w:val="22"/>
          <w:rtl/>
        </w:rPr>
        <w:t xml:space="preserve">י סיכון. </w:t>
      </w:r>
    </w:p>
    <w:p w:rsidR="002A5BD2" w:rsidRPr="00DA7BEB" w:rsidRDefault="002A5BD2" w:rsidP="002A5BD2">
      <w:pPr>
        <w:pStyle w:val="a9"/>
        <w:tabs>
          <w:tab w:val="left" w:pos="374"/>
        </w:tabs>
        <w:spacing w:after="200" w:line="360" w:lineRule="auto"/>
        <w:ind w:left="360"/>
        <w:jc w:val="both"/>
        <w:rPr>
          <w:rFonts w:ascii="Almoni DL AAA" w:hAnsi="Almoni DL AAA" w:cs="Almoni DL AAA"/>
          <w:sz w:val="22"/>
          <w:szCs w:val="22"/>
          <w:rtl/>
        </w:rPr>
      </w:pPr>
    </w:p>
    <w:p w:rsidR="00DA7BEB" w:rsidRPr="007E54DA" w:rsidRDefault="0072604D" w:rsidP="007E54DA">
      <w:pPr>
        <w:tabs>
          <w:tab w:val="left" w:pos="374"/>
        </w:tabs>
        <w:bidi/>
        <w:spacing w:after="200" w:line="360" w:lineRule="auto"/>
        <w:ind w:left="374"/>
        <w:jc w:val="both"/>
        <w:rPr>
          <w:rFonts w:ascii="Almoni DL AAA" w:hAnsi="Almoni DL AAA" w:cs="Almoni DL AAA"/>
          <w:b/>
          <w:bCs/>
          <w:color w:val="831519"/>
          <w:sz w:val="26"/>
          <w:szCs w:val="26"/>
          <w:lang w:bidi="he-IL"/>
        </w:rPr>
      </w:pPr>
      <w:r>
        <w:rPr>
          <w:rFonts w:ascii="Almoni DL AAA" w:hAnsi="Almoni DL AAA" w:cs="Almoni DL AAA" w:hint="cs"/>
          <w:b/>
          <w:bCs/>
          <w:color w:val="831519"/>
          <w:sz w:val="26"/>
          <w:szCs w:val="26"/>
          <w:rtl/>
          <w:lang w:bidi="he-IL"/>
        </w:rPr>
        <w:t>ובישראל...</w:t>
      </w:r>
      <w:r w:rsidR="00DA7BEB" w:rsidRPr="007E54DA">
        <w:rPr>
          <w:rFonts w:ascii="Almoni DL AAA" w:hAnsi="Almoni DL AAA" w:cs="Almoni DL AAA" w:hint="cs"/>
          <w:b/>
          <w:bCs/>
          <w:color w:val="831519"/>
          <w:sz w:val="26"/>
          <w:szCs w:val="26"/>
          <w:rtl/>
          <w:lang w:bidi="he-IL"/>
        </w:rPr>
        <w:t xml:space="preserve"> </w:t>
      </w:r>
    </w:p>
    <w:p w:rsidR="002A5BD2" w:rsidRDefault="00DA7BEB" w:rsidP="002A5BD2">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אם ה-</w:t>
      </w:r>
      <w:r w:rsidRPr="00DA7BEB">
        <w:rPr>
          <w:rFonts w:ascii="Almoni DL AAA" w:hAnsi="Almoni DL AAA" w:cs="Almoni DL AAA"/>
          <w:sz w:val="22"/>
          <w:szCs w:val="22"/>
        </w:rPr>
        <w:t xml:space="preserve">FED </w:t>
      </w:r>
      <w:r w:rsidRPr="00DA7BEB">
        <w:rPr>
          <w:rFonts w:ascii="Almoni DL AAA" w:hAnsi="Almoni DL AAA" w:cs="Almoni DL AAA" w:hint="cs"/>
          <w:sz w:val="22"/>
          <w:szCs w:val="22"/>
          <w:rtl/>
        </w:rPr>
        <w:t xml:space="preserve"> מאותת כי הוא ימתין להתפתחויות לפני נקיטת עמדה ברורה יותר, אז בנק ישראל</w:t>
      </w:r>
      <w:r w:rsidRPr="00DA7BEB">
        <w:rPr>
          <w:rFonts w:ascii="Almoni DL AAA" w:hAnsi="Almoni DL AAA" w:cs="Almoni DL AAA"/>
          <w:sz w:val="22"/>
          <w:szCs w:val="22"/>
        </w:rPr>
        <w:t xml:space="preserve">  </w:t>
      </w:r>
      <w:r w:rsidRPr="00DA7BEB">
        <w:rPr>
          <w:rFonts w:ascii="Almoni DL AAA" w:hAnsi="Almoni DL AAA" w:cs="Almoni DL AAA" w:hint="cs"/>
          <w:sz w:val="22"/>
          <w:szCs w:val="22"/>
          <w:rtl/>
        </w:rPr>
        <w:t xml:space="preserve">לא </w:t>
      </w:r>
      <w:r w:rsidR="0072604D">
        <w:rPr>
          <w:rFonts w:ascii="Almoni DL AAA" w:hAnsi="Almoni DL AAA" w:cs="Almoni DL AAA" w:hint="cs"/>
          <w:sz w:val="22"/>
          <w:szCs w:val="22"/>
          <w:rtl/>
        </w:rPr>
        <w:t>ר</w:t>
      </w:r>
      <w:r w:rsidRPr="00DA7BEB">
        <w:rPr>
          <w:rFonts w:ascii="Almoni DL AAA" w:hAnsi="Almoni DL AAA" w:cs="Almoni DL AAA" w:hint="cs"/>
          <w:sz w:val="22"/>
          <w:szCs w:val="22"/>
          <w:rtl/>
        </w:rPr>
        <w:t>ק שלא יזום מהלך נוסף אלא צפוי להמתין ל-</w:t>
      </w:r>
      <w:r w:rsidRPr="00DA7BEB">
        <w:rPr>
          <w:rFonts w:ascii="Almoni DL AAA" w:hAnsi="Almoni DL AAA" w:cs="Almoni DL AAA"/>
          <w:sz w:val="22"/>
          <w:szCs w:val="22"/>
        </w:rPr>
        <w:t>FED</w:t>
      </w:r>
      <w:r w:rsidRPr="00DA7BEB">
        <w:rPr>
          <w:rFonts w:ascii="Almoni DL AAA" w:hAnsi="Almoni DL AAA" w:cs="Almoni DL AAA" w:hint="cs"/>
          <w:sz w:val="22"/>
          <w:szCs w:val="22"/>
          <w:rtl/>
        </w:rPr>
        <w:t xml:space="preserve">. המסר של הבנק הוא יותר </w:t>
      </w:r>
      <w:r w:rsidR="002A5BD2">
        <w:rPr>
          <w:rFonts w:ascii="Almoni DL AAA" w:hAnsi="Almoni DL AAA" w:cs="Almoni DL AAA"/>
          <w:sz w:val="22"/>
          <w:szCs w:val="22"/>
        </w:rPr>
        <w:t>"</w:t>
      </w:r>
      <w:r w:rsidRPr="00DA7BEB">
        <w:rPr>
          <w:rFonts w:ascii="Almoni DL AAA" w:hAnsi="Almoni DL AAA" w:cs="Almoni DL AAA"/>
          <w:sz w:val="22"/>
          <w:szCs w:val="22"/>
        </w:rPr>
        <w:t>Lower for longer</w:t>
      </w:r>
      <w:r w:rsidR="0072604D">
        <w:rPr>
          <w:rFonts w:ascii="Almoni DL AAA" w:hAnsi="Almoni DL AAA" w:cs="Almoni DL AAA"/>
          <w:sz w:val="22"/>
          <w:szCs w:val="22"/>
        </w:rPr>
        <w:t>"</w:t>
      </w:r>
      <w:r w:rsidRPr="00DA7BEB">
        <w:rPr>
          <w:rFonts w:ascii="Almoni DL AAA" w:hAnsi="Almoni DL AAA" w:cs="Almoni DL AAA" w:hint="cs"/>
          <w:sz w:val="22"/>
          <w:szCs w:val="22"/>
          <w:rtl/>
        </w:rPr>
        <w:t xml:space="preserve"> מאשר רצון לבצע מהלך נוסף, מה גם שהניסיונות העולמיים של נקיטת ריביות שליליות לא הובילו להישגים משמעותיים. עם זאת, מרווח התמרון של הבנק מצומצם וההסתברות לנקיטת מהלך מרחיב נוסף עדיין גבוהה מאוד. זאת על רקע, העמקת השימוש בריבית שלילית שמפעילה לחץ להתחזקות השקל, ההאטה בעולם והרעה בשווקים הפיננסים, ובהיבט המקומי סביבת האינפלציה השלילית והתלות הגבוהה של הצמיחה בצריכה הפרטית. בהתחשב בכוחות הבסיסיים המשמעותיים הפועלים להתחזקות השקל, מסר זה של בנק ישראל, צפוי לחדש את הלחצים להתחזקות השקל בתקופה הקרובה. </w:t>
      </w:r>
    </w:p>
    <w:p w:rsidR="002A5BD2" w:rsidRDefault="002A5BD2">
      <w:pPr>
        <w:rPr>
          <w:rFonts w:ascii="Almoni DL AAA" w:hAnsi="Almoni DL AAA" w:cs="Almoni DL AAA"/>
          <w:sz w:val="22"/>
          <w:szCs w:val="22"/>
          <w:rtl/>
          <w:lang w:bidi="he-IL"/>
        </w:rPr>
      </w:pPr>
      <w:r>
        <w:rPr>
          <w:rFonts w:ascii="Almoni DL AAA" w:hAnsi="Almoni DL AAA" w:cs="Almoni DL AAA"/>
          <w:sz w:val="22"/>
          <w:szCs w:val="22"/>
          <w:rtl/>
        </w:rPr>
        <w:br w:type="page"/>
      </w:r>
    </w:p>
    <w:p w:rsidR="00DA7BEB" w:rsidRPr="00DA7BEB" w:rsidRDefault="00DA7BEB" w:rsidP="002A5BD2">
      <w:pPr>
        <w:pStyle w:val="a9"/>
        <w:tabs>
          <w:tab w:val="left" w:pos="374"/>
        </w:tabs>
        <w:spacing w:after="200" w:line="360" w:lineRule="auto"/>
        <w:ind w:left="360"/>
        <w:jc w:val="both"/>
        <w:rPr>
          <w:rFonts w:ascii="Almoni DL AAA" w:hAnsi="Almoni DL AAA" w:cs="Almoni DL AAA"/>
          <w:sz w:val="22"/>
          <w:szCs w:val="22"/>
          <w:rtl/>
        </w:rPr>
      </w:pPr>
    </w:p>
    <w:p w:rsidR="00DA7BEB" w:rsidRPr="00DA7BEB" w:rsidRDefault="00DA7BEB" w:rsidP="00DA7BEB">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השוק המקומי ממשיך להגיב באופן מתון להתפתחויות בעולם. ההתפתחויות האחרונות באירופה שהובילו לציפיות לתגובה משמעותית יותר מצד ה-</w:t>
      </w:r>
      <w:r w:rsidRPr="00DA7BEB">
        <w:rPr>
          <w:rFonts w:ascii="Almoni DL AAA" w:hAnsi="Almoni DL AAA" w:cs="Almoni DL AAA"/>
          <w:sz w:val="22"/>
          <w:szCs w:val="22"/>
        </w:rPr>
        <w:t>ECB</w:t>
      </w:r>
      <w:r w:rsidRPr="00DA7BEB">
        <w:rPr>
          <w:rFonts w:ascii="Almoni DL AAA" w:hAnsi="Almoni DL AAA" w:cs="Almoni DL AAA" w:hint="cs"/>
          <w:sz w:val="22"/>
          <w:szCs w:val="22"/>
          <w:rtl/>
        </w:rPr>
        <w:t xml:space="preserve">, באו לידי ביטוי בהיחלשות היורו בעולם וגם מול השקל ולירידת מדרגה נוספת בתשואות איגרות החוב בגרמניה. </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drawing>
          <wp:inline distT="0" distB="0" distL="0" distR="0" wp14:anchorId="0E507604" wp14:editId="3FCC3678">
            <wp:extent cx="3397982" cy="2094945"/>
            <wp:effectExtent l="0" t="0" r="0" b="635"/>
            <wp:docPr id="24"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96533" cy="2094052"/>
                    </a:xfrm>
                    <a:prstGeom prst="rect">
                      <a:avLst/>
                    </a:prstGeom>
                    <a:noFill/>
                  </pic:spPr>
                </pic:pic>
              </a:graphicData>
            </a:graphic>
          </wp:inline>
        </w:drawing>
      </w:r>
    </w:p>
    <w:p w:rsidR="00DA7BEB" w:rsidRPr="00DA7BEB" w:rsidRDefault="00DA7BEB" w:rsidP="00DA7BEB">
      <w:pPr>
        <w:pStyle w:val="a9"/>
        <w:numPr>
          <w:ilvl w:val="0"/>
          <w:numId w:val="28"/>
        </w:numPr>
        <w:tabs>
          <w:tab w:val="left" w:pos="374"/>
        </w:tabs>
        <w:spacing w:after="200" w:line="360" w:lineRule="auto"/>
        <w:ind w:left="360"/>
        <w:jc w:val="both"/>
        <w:rPr>
          <w:rFonts w:ascii="Almoni DL AAA" w:hAnsi="Almoni DL AAA" w:cs="Almoni DL AAA"/>
          <w:sz w:val="22"/>
          <w:szCs w:val="22"/>
          <w:rtl/>
        </w:rPr>
      </w:pPr>
      <w:r w:rsidRPr="00DA7BEB">
        <w:rPr>
          <w:rFonts w:ascii="Almoni DL AAA" w:hAnsi="Almoni DL AAA" w:cs="Almoni DL AAA" w:hint="cs"/>
          <w:sz w:val="22"/>
          <w:szCs w:val="22"/>
          <w:rtl/>
        </w:rPr>
        <w:t xml:space="preserve">כמו כן, השתטחות העקומים בארה"ב ובגרמניה צוברת תאוצה, ואילו בישראל שממילא מאופיינת בתלילות גבוהה יותר , התהליך מתון באופן ניכר. מכאן, ובהתחשב כמובן בהערכה לסביבה נחלשת ולהרעה בתנאים הפיננסיים בחודשים הקרובים, הצפי הוא להמשך מגמת ירידת התשואות בשוק האג"ח. </w:t>
      </w: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drawing>
          <wp:inline distT="0" distB="0" distL="0" distR="0" wp14:anchorId="08545B67" wp14:editId="27433C9C">
            <wp:extent cx="3330054" cy="2031959"/>
            <wp:effectExtent l="0" t="0" r="0" b="0"/>
            <wp:docPr id="25" name="תמונה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36187" cy="2035701"/>
                    </a:xfrm>
                    <a:prstGeom prst="rect">
                      <a:avLst/>
                    </a:prstGeom>
                    <a:noFill/>
                  </pic:spPr>
                </pic:pic>
              </a:graphicData>
            </a:graphic>
          </wp:inline>
        </w:drawing>
      </w:r>
    </w:p>
    <w:p w:rsidR="00DA7BEB" w:rsidRDefault="00DA7BEB" w:rsidP="00DA7BEB">
      <w:pPr>
        <w:pStyle w:val="a9"/>
        <w:numPr>
          <w:ilvl w:val="0"/>
          <w:numId w:val="28"/>
        </w:numPr>
        <w:tabs>
          <w:tab w:val="left" w:pos="374"/>
        </w:tabs>
        <w:spacing w:after="200" w:line="360" w:lineRule="auto"/>
        <w:ind w:left="360"/>
        <w:jc w:val="both"/>
        <w:rPr>
          <w:rFonts w:ascii="Almoni DL AAA" w:hAnsi="Almoni DL AAA" w:cs="Almoni DL AAA"/>
          <w:sz w:val="22"/>
          <w:szCs w:val="22"/>
        </w:rPr>
      </w:pPr>
      <w:r w:rsidRPr="00DA7BEB">
        <w:rPr>
          <w:rFonts w:ascii="Almoni DL AAA" w:hAnsi="Almoni DL AAA" w:cs="Almoni DL AAA" w:hint="cs"/>
          <w:sz w:val="22"/>
          <w:szCs w:val="22"/>
          <w:rtl/>
        </w:rPr>
        <w:t>לאחר מגמה ממושכת של ירדה בציפיות לאי</w:t>
      </w:r>
      <w:r w:rsidR="002A5BD2">
        <w:rPr>
          <w:rFonts w:ascii="Almoni DL AAA" w:hAnsi="Almoni DL AAA" w:cs="Almoni DL AAA" w:hint="cs"/>
          <w:sz w:val="22"/>
          <w:szCs w:val="22"/>
          <w:rtl/>
        </w:rPr>
        <w:t>נפלציה נרשמה לאחרונה עלייה מסוי</w:t>
      </w:r>
      <w:r w:rsidRPr="00DA7BEB">
        <w:rPr>
          <w:rFonts w:ascii="Almoni DL AAA" w:hAnsi="Almoni DL AAA" w:cs="Almoni DL AAA" w:hint="cs"/>
          <w:sz w:val="22"/>
          <w:szCs w:val="22"/>
          <w:rtl/>
        </w:rPr>
        <w:t xml:space="preserve">מת </w:t>
      </w:r>
      <w:r w:rsidR="002A5BD2">
        <w:rPr>
          <w:rFonts w:ascii="Almoni DL AAA" w:hAnsi="Almoni DL AAA" w:cs="Almoni DL AAA" w:hint="cs"/>
          <w:sz w:val="22"/>
          <w:szCs w:val="22"/>
          <w:rtl/>
        </w:rPr>
        <w:t>בעיקר בטווחים הבינוני והארוך לפ</w:t>
      </w:r>
      <w:r w:rsidRPr="00DA7BEB">
        <w:rPr>
          <w:rFonts w:ascii="Almoni DL AAA" w:hAnsi="Almoni DL AAA" w:cs="Almoni DL AAA" w:hint="cs"/>
          <w:sz w:val="22"/>
          <w:szCs w:val="22"/>
          <w:rtl/>
        </w:rPr>
        <w:t xml:space="preserve">דיון. התרחיש המרכזי שלנו לגבי ההתפתחויות בעולם במקביל לגורמים המבניים המקומיים (טיפול הדרגתי ביוקר המחייה ושינוי במודעות הצרכנית), השפעות בפיגור של הירידה במחירי הסחורות והשקל החזק מובילים למסקנה כי העדיפות </w:t>
      </w:r>
      <w:r w:rsidR="002A5BD2">
        <w:rPr>
          <w:rFonts w:ascii="Almoni DL AAA" w:hAnsi="Almoni DL AAA" w:cs="Almoni DL AAA" w:hint="cs"/>
          <w:sz w:val="22"/>
          <w:szCs w:val="22"/>
          <w:rtl/>
        </w:rPr>
        <w:t xml:space="preserve">לאפיק השקלי על פני הצמוד נותרת </w:t>
      </w:r>
      <w:r w:rsidRPr="00DA7BEB">
        <w:rPr>
          <w:rFonts w:ascii="Almoni DL AAA" w:hAnsi="Almoni DL AAA" w:cs="Almoni DL AAA" w:hint="cs"/>
          <w:sz w:val="22"/>
          <w:szCs w:val="22"/>
          <w:rtl/>
        </w:rPr>
        <w:t>בעינה. סביבת הציפיות בטווחים הקצרים סבירה ותואמת באופן כללי את תחזית האינפלציה שלנו לשנה הקרובה. לעו</w:t>
      </w:r>
      <w:r w:rsidR="002A5BD2">
        <w:rPr>
          <w:rFonts w:ascii="Almoni DL AAA" w:hAnsi="Almoni DL AAA" w:cs="Almoni DL AAA" w:hint="cs"/>
          <w:sz w:val="22"/>
          <w:szCs w:val="22"/>
          <w:rtl/>
        </w:rPr>
        <w:t>מת זאת, בטווחים הבינוני ארוך לפ</w:t>
      </w:r>
      <w:r w:rsidRPr="00DA7BEB">
        <w:rPr>
          <w:rFonts w:ascii="Almoni DL AAA" w:hAnsi="Almoni DL AAA" w:cs="Almoni DL AAA" w:hint="cs"/>
          <w:sz w:val="22"/>
          <w:szCs w:val="22"/>
          <w:rtl/>
        </w:rPr>
        <w:t xml:space="preserve">דיון, כדאי לדעתנו לנצל את העלייה האחרונה בציפיות לצורך הגדלת המשקל השקלי על פני הצמוד. </w:t>
      </w:r>
    </w:p>
    <w:p w:rsidR="002A5BD2" w:rsidRDefault="002A5BD2" w:rsidP="002A5BD2">
      <w:pPr>
        <w:pStyle w:val="a9"/>
        <w:tabs>
          <w:tab w:val="left" w:pos="374"/>
        </w:tabs>
        <w:spacing w:after="200" w:line="360" w:lineRule="auto"/>
        <w:ind w:left="360"/>
        <w:jc w:val="both"/>
        <w:rPr>
          <w:rFonts w:ascii="Almoni DL AAA" w:hAnsi="Almoni DL AAA" w:cs="Almoni DL AAA"/>
          <w:sz w:val="22"/>
          <w:szCs w:val="22"/>
          <w:rtl/>
        </w:rPr>
      </w:pPr>
    </w:p>
    <w:p w:rsidR="002A5BD2" w:rsidRDefault="002A5BD2" w:rsidP="002A5BD2">
      <w:pPr>
        <w:pStyle w:val="a9"/>
        <w:tabs>
          <w:tab w:val="left" w:pos="374"/>
        </w:tabs>
        <w:spacing w:after="200" w:line="360" w:lineRule="auto"/>
        <w:ind w:left="360"/>
        <w:jc w:val="both"/>
        <w:rPr>
          <w:rFonts w:ascii="Almoni DL AAA" w:hAnsi="Almoni DL AAA" w:cs="Almoni DL AAA"/>
          <w:sz w:val="22"/>
          <w:szCs w:val="22"/>
          <w:rtl/>
        </w:rPr>
      </w:pPr>
    </w:p>
    <w:p w:rsidR="002A5BD2" w:rsidRDefault="002A5BD2" w:rsidP="002A5BD2">
      <w:pPr>
        <w:pStyle w:val="a9"/>
        <w:tabs>
          <w:tab w:val="left" w:pos="374"/>
        </w:tabs>
        <w:spacing w:after="200" w:line="360" w:lineRule="auto"/>
        <w:ind w:left="360"/>
        <w:jc w:val="both"/>
        <w:rPr>
          <w:rFonts w:ascii="Almoni DL AAA" w:hAnsi="Almoni DL AAA" w:cs="Almoni DL AAA"/>
          <w:sz w:val="22"/>
          <w:szCs w:val="22"/>
          <w:rtl/>
        </w:rPr>
      </w:pPr>
    </w:p>
    <w:p w:rsidR="002A5BD2" w:rsidRPr="00DA7BEB" w:rsidRDefault="002A5BD2" w:rsidP="002A5BD2">
      <w:pPr>
        <w:pStyle w:val="a9"/>
        <w:tabs>
          <w:tab w:val="left" w:pos="374"/>
        </w:tabs>
        <w:spacing w:after="200" w:line="360" w:lineRule="auto"/>
        <w:ind w:left="360"/>
        <w:jc w:val="both"/>
        <w:rPr>
          <w:rFonts w:ascii="Almoni DL AAA" w:hAnsi="Almoni DL AAA" w:cs="Almoni DL AAA"/>
          <w:sz w:val="22"/>
          <w:szCs w:val="22"/>
          <w:rtl/>
        </w:rPr>
      </w:pPr>
    </w:p>
    <w:p w:rsidR="00DA7BEB" w:rsidRPr="00DA7BEB" w:rsidRDefault="00DA7BEB" w:rsidP="00DA7BEB">
      <w:pPr>
        <w:pStyle w:val="a9"/>
        <w:tabs>
          <w:tab w:val="left" w:pos="374"/>
        </w:tabs>
        <w:spacing w:after="200" w:line="360" w:lineRule="auto"/>
        <w:ind w:left="360"/>
        <w:jc w:val="center"/>
        <w:rPr>
          <w:rFonts w:ascii="Almoni DL AAA" w:hAnsi="Almoni DL AAA" w:cs="Almoni DL AAA"/>
          <w:sz w:val="22"/>
          <w:szCs w:val="22"/>
          <w:rtl/>
        </w:rPr>
      </w:pPr>
      <w:r w:rsidRPr="00DA7BEB">
        <w:rPr>
          <w:noProof/>
        </w:rPr>
        <w:drawing>
          <wp:inline distT="0" distB="0" distL="0" distR="0" wp14:anchorId="4CD7EA11" wp14:editId="123B7B6D">
            <wp:extent cx="3425588" cy="2090253"/>
            <wp:effectExtent l="0" t="0" r="3810" b="5715"/>
            <wp:docPr id="26" name="תמונה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29461" cy="2092616"/>
                    </a:xfrm>
                    <a:prstGeom prst="rect">
                      <a:avLst/>
                    </a:prstGeom>
                    <a:noFill/>
                  </pic:spPr>
                </pic:pic>
              </a:graphicData>
            </a:graphic>
          </wp:inline>
        </w:drawing>
      </w:r>
    </w:p>
    <w:p w:rsidR="00440404" w:rsidRPr="00440404" w:rsidRDefault="00440404" w:rsidP="00440404">
      <w:pPr>
        <w:tabs>
          <w:tab w:val="left" w:pos="374"/>
        </w:tabs>
        <w:bidi/>
        <w:spacing w:after="200" w:line="360" w:lineRule="auto"/>
        <w:ind w:left="668"/>
        <w:jc w:val="both"/>
        <w:rPr>
          <w:rFonts w:ascii="Almoni DL AAA" w:hAnsi="Almoni DL AAA" w:cs="Almoni DL AAA"/>
          <w:color w:val="272727"/>
          <w:sz w:val="22"/>
          <w:szCs w:val="22"/>
          <w:rtl/>
          <w:lang w:bidi="he-IL"/>
        </w:rPr>
      </w:pPr>
    </w:p>
    <w:p w:rsidR="00491303" w:rsidRDefault="00491303" w:rsidP="00491303">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DA7BEB" w:rsidRDefault="00DA7BEB" w:rsidP="00DA7BEB">
      <w:pPr>
        <w:tabs>
          <w:tab w:val="right" w:pos="11199"/>
        </w:tabs>
        <w:bidi/>
        <w:spacing w:line="276" w:lineRule="auto"/>
        <w:ind w:left="-477" w:right="-426"/>
        <w:jc w:val="both"/>
        <w:rPr>
          <w:rFonts w:ascii="Almoni DL AAA" w:hAnsi="Almoni DL AAA" w:cs="Almoni DL AAA"/>
          <w:sz w:val="18"/>
          <w:szCs w:val="18"/>
          <w:rtl/>
          <w:lang w:bidi="he-IL"/>
        </w:rPr>
      </w:pPr>
    </w:p>
    <w:p w:rsidR="00491303" w:rsidRDefault="00491303" w:rsidP="00491303">
      <w:pPr>
        <w:tabs>
          <w:tab w:val="right" w:pos="11199"/>
        </w:tabs>
        <w:bidi/>
        <w:spacing w:line="276" w:lineRule="auto"/>
        <w:ind w:left="-477" w:right="-426"/>
        <w:jc w:val="both"/>
        <w:rPr>
          <w:rFonts w:ascii="Almoni DL AAA" w:hAnsi="Almoni DL AAA" w:cs="Almoni DL AAA"/>
          <w:sz w:val="18"/>
          <w:szCs w:val="18"/>
          <w:rtl/>
          <w:lang w:bidi="he-IL"/>
        </w:rPr>
      </w:pPr>
    </w:p>
    <w:p w:rsidR="00491303" w:rsidRDefault="00491303" w:rsidP="00491303">
      <w:pPr>
        <w:tabs>
          <w:tab w:val="right" w:pos="11199"/>
        </w:tabs>
        <w:bidi/>
        <w:spacing w:line="276" w:lineRule="auto"/>
        <w:ind w:left="-477" w:right="-426"/>
        <w:jc w:val="both"/>
        <w:rPr>
          <w:rFonts w:ascii="Almoni DL AAA" w:hAnsi="Almoni DL AAA" w:cs="Almoni DL AAA"/>
          <w:sz w:val="18"/>
          <w:szCs w:val="18"/>
          <w:rtl/>
          <w:lang w:bidi="he-IL"/>
        </w:rPr>
      </w:pPr>
    </w:p>
    <w:p w:rsidR="00112AFD" w:rsidRPr="00284CA8" w:rsidRDefault="00A96F5B" w:rsidP="00491303">
      <w:pPr>
        <w:tabs>
          <w:tab w:val="right" w:pos="11199"/>
        </w:tabs>
        <w:bidi/>
        <w:spacing w:line="276" w:lineRule="auto"/>
        <w:ind w:left="-477" w:right="-426"/>
        <w:jc w:val="both"/>
        <w:rPr>
          <w:rFonts w:ascii="Almoni DL AAA" w:hAnsi="Almoni DL AAA" w:cs="Almoni DL AAA"/>
          <w:sz w:val="18"/>
          <w:szCs w:val="18"/>
          <w:lang w:bidi="he-IL"/>
        </w:rPr>
      </w:pPr>
      <w:r w:rsidRPr="0049653A">
        <w:rPr>
          <w:rFonts w:ascii="Almoni DL AAA" w:hAnsi="Almoni DL AAA" w:cs="Almoni DL AAA"/>
          <w:sz w:val="18"/>
          <w:szCs w:val="18"/>
          <w:rtl/>
          <w:lang w:bidi="he-IL"/>
        </w:rPr>
        <w:t xml:space="preserve">מסמך זה הוכן על ידי מחלקת מסחר והמחלקה הכלכלית של קבוצת אי.בי.אי.. המסמך מבוסס על מידע שדווח לציבור על ידי החברות הנסקרות בו וכן על הערכות ואומדנים, שמטבע הדברים אפשר ויתבררו כחסרים, או בלתי מעודכנים. המסמך נשלח למשקיעים מוסדיים מקצועיים ו/או ללקוחות אחרים שעפ"י דין ניתן להעביר להם מסמך זה- כחומר מסייע, בלבד,  ואין לקבל על סמך מסמך זה החלטות השקעה כלשהן. אין במסמך זה ובכל הכלול בו משום ייעוץ או שיוו או הזמנה לרכוש (או למכור) את ניירות </w:t>
      </w:r>
      <w:r w:rsidRPr="0049653A">
        <w:rPr>
          <w:rFonts w:ascii="Almoni DL AAA" w:hAnsi="Almoni DL AAA" w:cs="Almoni DL AAA"/>
          <w:sz w:val="18"/>
          <w:szCs w:val="18"/>
          <w:rtl/>
          <w:lang w:bidi="he-IL"/>
        </w:rPr>
        <w:lastRenderedPageBreak/>
        <w:t>הערך הנזכרים בו, ואין בו משום תחליף לייעוץ המתחשב בנתונים ובצרכים המיוחדים של כל אדם. קבוצת אי.בי.אי. לא תהיה אחראית לכל נזק שיגרם, אם יגרם, למאן דהוא, כתוצאה מהסתמכות על מסמך זה. קבוצת אי.בי.אי.  מחזיקה עבור לקוחותיה ועבור עצמה את ניירות הערך המסוקרים במסמך זה, כולם או חלקם, והיא עשויה לפעול הן במגמת קנייה והן במגמת מכירה בכל אחד מניירות הערך הנ"ל . כמו כן,  כותבי עבודה זו, כולם או חלקם,עשויי להיות עניין אישי, בניירות הערך המסוקרים במסמך זה, כולם או  חלקם.</w:t>
      </w:r>
    </w:p>
    <w:sectPr w:rsidR="00112AFD" w:rsidRPr="00284CA8" w:rsidSect="00196C05">
      <w:headerReference w:type="default" r:id="rId23"/>
      <w:footerReference w:type="default" r:id="rId24"/>
      <w:headerReference w:type="first" r:id="rId25"/>
      <w:footerReference w:type="first" r:id="rId26"/>
      <w:pgSz w:w="11906" w:h="16838" w:code="9"/>
      <w:pgMar w:top="1440" w:right="1797" w:bottom="1134"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E1C" w:rsidRDefault="00735E1C">
      <w:r>
        <w:separator/>
      </w:r>
    </w:p>
  </w:endnote>
  <w:endnote w:type="continuationSeparator" w:id="0">
    <w:p w:rsidR="00735E1C" w:rsidRDefault="00735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dobe Arabic">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moni DL AAA">
    <w:altName w:val="Gisha"/>
    <w:panose1 w:val="00000000000000000000"/>
    <w:charset w:val="00"/>
    <w:family w:val="swiss"/>
    <w:notTrueType/>
    <w:pitch w:val="variable"/>
    <w:sig w:usb0="00000000" w:usb1="5000406A" w:usb2="00000000" w:usb3="00000000" w:csb0="0000002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F5B" w:rsidRPr="00A96F5B" w:rsidRDefault="009F0E5D" w:rsidP="00A96F5B">
    <w:pPr>
      <w:pStyle w:val="a5"/>
    </w:pPr>
    <w:r>
      <w:rPr>
        <w:rFonts w:ascii="Arial" w:hAnsi="Arial" w:cs="Arial"/>
        <w:noProof/>
        <w:color w:val="044364"/>
        <w:sz w:val="22"/>
        <w:szCs w:val="22"/>
      </w:rPr>
      <w:drawing>
        <wp:inline distT="0" distB="0" distL="0" distR="0">
          <wp:extent cx="5276850" cy="120650"/>
          <wp:effectExtent l="19050" t="0" r="0" b="0"/>
          <wp:docPr id="2" name="Picture 9" descr="כותרת תחת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כותרת תחתונה"/>
                  <pic:cNvPicPr>
                    <a:picLocks noChangeAspect="1" noChangeArrowheads="1"/>
                  </pic:cNvPicPr>
                </pic:nvPicPr>
                <pic:blipFill>
                  <a:blip r:embed="rId1"/>
                  <a:srcRect/>
                  <a:stretch>
                    <a:fillRect/>
                  </a:stretch>
                </pic:blipFill>
                <pic:spPr bwMode="auto">
                  <a:xfrm>
                    <a:off x="0" y="0"/>
                    <a:ext cx="5276850" cy="120650"/>
                  </a:xfrm>
                  <a:prstGeom prst="rect">
                    <a:avLst/>
                  </a:prstGeom>
                  <a:noFill/>
                  <a:ln w="9525">
                    <a:noFill/>
                    <a:miter lim="800000"/>
                    <a:headEnd/>
                    <a:tailEnd/>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F5B" w:rsidRDefault="009F0E5D" w:rsidP="00A96F5B">
    <w:pPr>
      <w:pStyle w:val="a5"/>
      <w:jc w:val="center"/>
    </w:pPr>
    <w:r>
      <w:rPr>
        <w:noProof/>
      </w:rPr>
      <w:drawing>
        <wp:anchor distT="0" distB="0" distL="114300" distR="114300" simplePos="0" relativeHeight="251659776" behindDoc="1" locked="0" layoutInCell="1" allowOverlap="1">
          <wp:simplePos x="0" y="0"/>
          <wp:positionH relativeFrom="column">
            <wp:posOffset>-455295</wp:posOffset>
          </wp:positionH>
          <wp:positionV relativeFrom="paragraph">
            <wp:posOffset>163195</wp:posOffset>
          </wp:positionV>
          <wp:extent cx="6123940" cy="152400"/>
          <wp:effectExtent l="19050" t="0" r="0" b="0"/>
          <wp:wrapThrough wrapText="bothSides">
            <wp:wrapPolygon edited="0">
              <wp:start x="-67" y="0"/>
              <wp:lineTo x="-67" y="18900"/>
              <wp:lineTo x="21569" y="18900"/>
              <wp:lineTo x="21569" y="0"/>
              <wp:lineTo x="-67" y="0"/>
            </wp:wrapPolygon>
          </wp:wrapThrough>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6123940" cy="1524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E1C" w:rsidRDefault="00735E1C">
      <w:r>
        <w:separator/>
      </w:r>
    </w:p>
  </w:footnote>
  <w:footnote w:type="continuationSeparator" w:id="0">
    <w:p w:rsidR="00735E1C" w:rsidRDefault="00735E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AFD" w:rsidRDefault="009F0E5D">
    <w:pPr>
      <w:pStyle w:val="a3"/>
      <w:bidi/>
    </w:pPr>
    <w:r>
      <w:rPr>
        <w:noProof/>
      </w:rPr>
      <w:drawing>
        <wp:anchor distT="0" distB="0" distL="114300" distR="114300" simplePos="0" relativeHeight="251655680" behindDoc="1" locked="0" layoutInCell="1" allowOverlap="1">
          <wp:simplePos x="0" y="0"/>
          <wp:positionH relativeFrom="margin">
            <wp:posOffset>-896620</wp:posOffset>
          </wp:positionH>
          <wp:positionV relativeFrom="margin">
            <wp:posOffset>-914400</wp:posOffset>
          </wp:positionV>
          <wp:extent cx="7068820" cy="1199515"/>
          <wp:effectExtent l="19050" t="0" r="0" b="0"/>
          <wp:wrapNone/>
          <wp:docPr id="1" name="Picture 0" descr="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emplate.jpg"/>
                  <pic:cNvPicPr>
                    <a:picLocks noChangeAspect="1" noChangeArrowheads="1"/>
                  </pic:cNvPicPr>
                </pic:nvPicPr>
                <pic:blipFill>
                  <a:blip r:embed="rId1"/>
                  <a:srcRect/>
                  <a:stretch>
                    <a:fillRect/>
                  </a:stretch>
                </pic:blipFill>
                <pic:spPr bwMode="auto">
                  <a:xfrm>
                    <a:off x="0" y="0"/>
                    <a:ext cx="7068820" cy="1199515"/>
                  </a:xfrm>
                  <a:prstGeom prst="rect">
                    <a:avLst/>
                  </a:prstGeom>
                  <a:noFill/>
                  <a:ln w="9525">
                    <a:noFill/>
                    <a:miter lim="800000"/>
                    <a:headEnd/>
                    <a:tailEnd/>
                  </a:ln>
                </pic:spPr>
              </pic:pic>
            </a:graphicData>
          </a:graphic>
        </wp:anchor>
      </w:drawing>
    </w:r>
  </w:p>
  <w:p w:rsidR="00112AFD" w:rsidRDefault="00112AF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AFD" w:rsidRDefault="008232A6">
    <w:pPr>
      <w:pStyle w:val="a3"/>
    </w:pPr>
    <w:r>
      <w:rPr>
        <w:noProof/>
      </w:rPr>
      <mc:AlternateContent>
        <mc:Choice Requires="wps">
          <w:drawing>
            <wp:anchor distT="0" distB="0" distL="114300" distR="114300" simplePos="0" relativeHeight="251658752" behindDoc="0" locked="0" layoutInCell="1" allowOverlap="1">
              <wp:simplePos x="0" y="0"/>
              <wp:positionH relativeFrom="column">
                <wp:posOffset>-941070</wp:posOffset>
              </wp:positionH>
              <wp:positionV relativeFrom="paragraph">
                <wp:posOffset>407035</wp:posOffset>
              </wp:positionV>
              <wp:extent cx="1487170" cy="285750"/>
              <wp:effectExtent l="0" t="0" r="0" b="0"/>
              <wp:wrapNone/>
              <wp:docPr id="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58C1" w:rsidRPr="006C24A2" w:rsidRDefault="00773A66">
                          <w:pPr>
                            <w:rPr>
                              <w:rFonts w:ascii="Almoni DL AAA" w:hAnsi="Almoni DL AAA" w:cs="Almoni DL AAA"/>
                              <w:sz w:val="28"/>
                              <w:szCs w:val="28"/>
                            </w:rPr>
                          </w:pPr>
                          <w:r w:rsidRPr="006C24A2">
                            <w:rPr>
                              <w:rFonts w:ascii="Almoni DL AAA" w:hAnsi="Almoni DL AAA" w:cs="Almoni DL AAA"/>
                              <w:sz w:val="28"/>
                              <w:szCs w:val="28"/>
                            </w:rPr>
                            <w:fldChar w:fldCharType="begin"/>
                          </w:r>
                          <w:r w:rsidR="006C24A2" w:rsidRPr="006C24A2">
                            <w:rPr>
                              <w:rFonts w:ascii="Almoni DL AAA" w:hAnsi="Almoni DL AAA" w:cs="Almoni DL AAA"/>
                              <w:sz w:val="28"/>
                              <w:szCs w:val="28"/>
                              <w:rtl/>
                              <w:lang w:bidi="he-IL"/>
                            </w:rPr>
                            <w:instrText xml:space="preserve"> </w:instrText>
                          </w:r>
                          <w:r w:rsidR="006C24A2" w:rsidRPr="006C24A2">
                            <w:rPr>
                              <w:rFonts w:ascii="Almoni DL AAA" w:hAnsi="Almoni DL AAA" w:cs="Almoni DL AAA"/>
                              <w:sz w:val="28"/>
                              <w:szCs w:val="28"/>
                              <w:lang w:bidi="he-IL"/>
                            </w:rPr>
                            <w:instrText>DATE</w:instrText>
                          </w:r>
                          <w:r w:rsidR="006C24A2" w:rsidRPr="006C24A2">
                            <w:rPr>
                              <w:rFonts w:ascii="Almoni DL AAA" w:hAnsi="Almoni DL AAA" w:cs="Almoni DL AAA"/>
                              <w:sz w:val="28"/>
                              <w:szCs w:val="28"/>
                              <w:rtl/>
                              <w:lang w:bidi="he-IL"/>
                            </w:rPr>
                            <w:instrText xml:space="preserve"> \@ "</w:instrText>
                          </w:r>
                          <w:r w:rsidR="006C24A2" w:rsidRPr="006C24A2">
                            <w:rPr>
                              <w:rFonts w:ascii="Almoni DL AAA" w:hAnsi="Almoni DL AAA" w:cs="Almoni DL AAA"/>
                              <w:sz w:val="28"/>
                              <w:szCs w:val="28"/>
                              <w:lang w:bidi="he-IL"/>
                            </w:rPr>
                            <w:instrText>dd.MM.yyyy</w:instrText>
                          </w:r>
                          <w:r w:rsidR="006C24A2" w:rsidRPr="006C24A2">
                            <w:rPr>
                              <w:rFonts w:ascii="Almoni DL AAA" w:hAnsi="Almoni DL AAA" w:cs="Almoni DL AAA"/>
                              <w:sz w:val="28"/>
                              <w:szCs w:val="28"/>
                              <w:rtl/>
                              <w:lang w:bidi="he-IL"/>
                            </w:rPr>
                            <w:instrText xml:space="preserve">" </w:instrText>
                          </w:r>
                          <w:r w:rsidRPr="006C24A2">
                            <w:rPr>
                              <w:rFonts w:ascii="Almoni DL AAA" w:hAnsi="Almoni DL AAA" w:cs="Almoni DL AAA"/>
                              <w:sz w:val="28"/>
                              <w:szCs w:val="28"/>
                            </w:rPr>
                            <w:fldChar w:fldCharType="separate"/>
                          </w:r>
                          <w:r w:rsidR="00294C32">
                            <w:rPr>
                              <w:rFonts w:ascii="Almoni DL AAA" w:hAnsi="Almoni DL AAA" w:cs="Almoni DL AAA"/>
                              <w:noProof/>
                              <w:sz w:val="28"/>
                              <w:szCs w:val="28"/>
                              <w:rtl/>
                              <w:lang w:bidi="he-IL"/>
                            </w:rPr>
                            <w:t>‏02.03.2016</w:t>
                          </w:r>
                          <w:r w:rsidRPr="006C24A2">
                            <w:rPr>
                              <w:rFonts w:ascii="Almoni DL AAA" w:hAnsi="Almoni DL AAA" w:cs="Almoni DL AAA"/>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74.1pt;margin-top:32.05pt;width:117.1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" filled="f" stroked="f">
              <v:textbox>
                <w:txbxContent>
                  <w:p w:rsidR="007A58C1" w:rsidRPr="006C24A2" w:rsidRDefault="00773A66">
                    <w:pPr>
                      <w:rPr>
                        <w:rFonts w:ascii="Almoni DL AAA" w:hAnsi="Almoni DL AAA" w:cs="Almoni DL AAA"/>
                        <w:sz w:val="28"/>
                        <w:szCs w:val="28"/>
                      </w:rPr>
                    </w:pPr>
                    <w:r w:rsidRPr="006C24A2">
                      <w:rPr>
                        <w:rFonts w:ascii="Almoni DL AAA" w:hAnsi="Almoni DL AAA" w:cs="Almoni DL AAA"/>
                        <w:sz w:val="28"/>
                        <w:szCs w:val="28"/>
                      </w:rPr>
                      <w:fldChar w:fldCharType="begin"/>
                    </w:r>
                    <w:r w:rsidR="006C24A2" w:rsidRPr="006C24A2">
                      <w:rPr>
                        <w:rFonts w:ascii="Almoni DL AAA" w:hAnsi="Almoni DL AAA" w:cs="Almoni DL AAA"/>
                        <w:sz w:val="28"/>
                        <w:szCs w:val="28"/>
                        <w:rtl/>
                        <w:lang w:bidi="he-IL"/>
                      </w:rPr>
                      <w:instrText xml:space="preserve"> </w:instrText>
                    </w:r>
                    <w:r w:rsidR="006C24A2" w:rsidRPr="006C24A2">
                      <w:rPr>
                        <w:rFonts w:ascii="Almoni DL AAA" w:hAnsi="Almoni DL AAA" w:cs="Almoni DL AAA"/>
                        <w:sz w:val="28"/>
                        <w:szCs w:val="28"/>
                        <w:lang w:bidi="he-IL"/>
                      </w:rPr>
                      <w:instrText>DATE</w:instrText>
                    </w:r>
                    <w:r w:rsidR="006C24A2" w:rsidRPr="006C24A2">
                      <w:rPr>
                        <w:rFonts w:ascii="Almoni DL AAA" w:hAnsi="Almoni DL AAA" w:cs="Almoni DL AAA"/>
                        <w:sz w:val="28"/>
                        <w:szCs w:val="28"/>
                        <w:rtl/>
                        <w:lang w:bidi="he-IL"/>
                      </w:rPr>
                      <w:instrText xml:space="preserve"> \@ "</w:instrText>
                    </w:r>
                    <w:r w:rsidR="006C24A2" w:rsidRPr="006C24A2">
                      <w:rPr>
                        <w:rFonts w:ascii="Almoni DL AAA" w:hAnsi="Almoni DL AAA" w:cs="Almoni DL AAA"/>
                        <w:sz w:val="28"/>
                        <w:szCs w:val="28"/>
                        <w:lang w:bidi="he-IL"/>
                      </w:rPr>
                      <w:instrText>dd.MM.yyyy</w:instrText>
                    </w:r>
                    <w:r w:rsidR="006C24A2" w:rsidRPr="006C24A2">
                      <w:rPr>
                        <w:rFonts w:ascii="Almoni DL AAA" w:hAnsi="Almoni DL AAA" w:cs="Almoni DL AAA"/>
                        <w:sz w:val="28"/>
                        <w:szCs w:val="28"/>
                        <w:rtl/>
                        <w:lang w:bidi="he-IL"/>
                      </w:rPr>
                      <w:instrText xml:space="preserve">" </w:instrText>
                    </w:r>
                    <w:r w:rsidRPr="006C24A2">
                      <w:rPr>
                        <w:rFonts w:ascii="Almoni DL AAA" w:hAnsi="Almoni DL AAA" w:cs="Almoni DL AAA"/>
                        <w:sz w:val="28"/>
                        <w:szCs w:val="28"/>
                      </w:rPr>
                      <w:fldChar w:fldCharType="separate"/>
                    </w:r>
                    <w:r w:rsidR="00294C32">
                      <w:rPr>
                        <w:rFonts w:ascii="Almoni DL AAA" w:hAnsi="Almoni DL AAA" w:cs="Almoni DL AAA"/>
                        <w:noProof/>
                        <w:sz w:val="28"/>
                        <w:szCs w:val="28"/>
                        <w:rtl/>
                        <w:lang w:bidi="he-IL"/>
                      </w:rPr>
                      <w:t>‏02.03.2016</w:t>
                    </w:r>
                    <w:r w:rsidRPr="006C24A2">
                      <w:rPr>
                        <w:rFonts w:ascii="Almoni DL AAA" w:hAnsi="Almoni DL AAA" w:cs="Almoni DL AAA"/>
                        <w:sz w:val="28"/>
                        <w:szCs w:val="28"/>
                      </w:rPr>
                      <w:fldChar w:fldCharType="end"/>
                    </w:r>
                  </w:p>
                </w:txbxContent>
              </v:textbox>
            </v:shape>
          </w:pict>
        </mc:Fallback>
      </mc:AlternateContent>
    </w:r>
    <w:r w:rsidR="009F0E5D">
      <w:rPr>
        <w:noProof/>
      </w:rPr>
      <w:drawing>
        <wp:anchor distT="0" distB="0" distL="114300" distR="114300" simplePos="0" relativeHeight="251657728" behindDoc="1" locked="0" layoutInCell="1" allowOverlap="1">
          <wp:simplePos x="0" y="0"/>
          <wp:positionH relativeFrom="margin">
            <wp:posOffset>-942975</wp:posOffset>
          </wp:positionH>
          <wp:positionV relativeFrom="margin">
            <wp:posOffset>-742315</wp:posOffset>
          </wp:positionV>
          <wp:extent cx="7068820" cy="1199515"/>
          <wp:effectExtent l="19050" t="0" r="0" b="0"/>
          <wp:wrapNone/>
          <wp:docPr id="3" name="Picture 3" descr="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mplate.jpg"/>
                  <pic:cNvPicPr>
                    <a:picLocks noChangeAspect="1" noChangeArrowheads="1"/>
                  </pic:cNvPicPr>
                </pic:nvPicPr>
                <pic:blipFill>
                  <a:blip r:embed="rId1"/>
                  <a:srcRect/>
                  <a:stretch>
                    <a:fillRect/>
                  </a:stretch>
                </pic:blipFill>
                <pic:spPr bwMode="auto">
                  <a:xfrm>
                    <a:off x="0" y="0"/>
                    <a:ext cx="7068820" cy="119951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56704" behindDoc="0" locked="0" layoutInCell="1" allowOverlap="1">
              <wp:simplePos x="0" y="0"/>
              <wp:positionH relativeFrom="column">
                <wp:posOffset>-915670</wp:posOffset>
              </wp:positionH>
              <wp:positionV relativeFrom="paragraph">
                <wp:posOffset>-144780</wp:posOffset>
              </wp:positionV>
              <wp:extent cx="2109470" cy="441960"/>
              <wp:effectExtent l="0" t="0" r="5080" b="0"/>
              <wp:wrapNone/>
              <wp:docPr id="3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9470" cy="441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6F5B" w:rsidRPr="00A96F5B" w:rsidRDefault="00A96F5B" w:rsidP="00A96F5B">
                          <w:pPr>
                            <w:rPr>
                              <w:rFonts w:ascii="Almoni DL AAA" w:hAnsi="Almoni DL AAA" w:cs="Almoni DL AAA"/>
                              <w:color w:val="575759"/>
                              <w:rtl/>
                            </w:rPr>
                          </w:pPr>
                          <w:r w:rsidRPr="00A96F5B">
                            <w:rPr>
                              <w:rFonts w:ascii="Almoni DL AAA" w:hAnsi="Almoni DL AAA" w:cs="Almoni DL AAA"/>
                              <w:color w:val="575759"/>
                              <w:rtl/>
                              <w:lang w:bidi="he-IL"/>
                            </w:rPr>
                            <w:t>רפאל גוזלן, כלכלן ראשי</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72.1pt;margin-top:-11.4pt;width:166.1pt;height:3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" stroked="f">
              <v:textbox style="mso-fit-shape-to-text:t">
                <w:txbxContent>
                  <w:p w:rsidR="00A96F5B" w:rsidRPr="00A96F5B" w:rsidRDefault="00A96F5B" w:rsidP="00A96F5B">
                    <w:pPr>
                      <w:rPr>
                        <w:rFonts w:ascii="Almoni DL AAA" w:hAnsi="Almoni DL AAA" w:cs="Almoni DL AAA"/>
                        <w:color w:val="575759"/>
                        <w:rtl/>
                      </w:rPr>
                    </w:pPr>
                    <w:r w:rsidRPr="00A96F5B">
                      <w:rPr>
                        <w:rFonts w:ascii="Almoni DL AAA" w:hAnsi="Almoni DL AAA" w:cs="Almoni DL AAA"/>
                        <w:color w:val="575759"/>
                        <w:rtl/>
                        <w:lang w:bidi="he-IL"/>
                      </w:rPr>
                      <w:t>רפאל גוזלן, כלכלן ראשי</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5008E"/>
    <w:multiLevelType w:val="hybridMultilevel"/>
    <w:tmpl w:val="C6E8638E"/>
    <w:lvl w:ilvl="0" w:tplc="F0687A3E">
      <w:start w:val="1"/>
      <w:numFmt w:val="bullet"/>
      <w:lvlText w:val="-"/>
      <w:lvlJc w:val="left"/>
      <w:pPr>
        <w:ind w:left="720" w:hanging="360"/>
      </w:pPr>
      <w:rPr>
        <w:rFonts w:ascii="Adobe Arabic" w:hAnsi="Adobe Arabic"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32A5F"/>
    <w:multiLevelType w:val="hybridMultilevel"/>
    <w:tmpl w:val="4F827C90"/>
    <w:lvl w:ilvl="0" w:tplc="F0687A3E">
      <w:start w:val="1"/>
      <w:numFmt w:val="bullet"/>
      <w:lvlText w:val="-"/>
      <w:lvlJc w:val="left"/>
      <w:pPr>
        <w:ind w:left="928" w:hanging="360"/>
      </w:pPr>
      <w:rPr>
        <w:rFonts w:ascii="Adobe Arabic" w:hAnsi="Adobe Arabic" w:hint="default"/>
        <w:color w:val="auto"/>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
    <w:nsid w:val="06824879"/>
    <w:multiLevelType w:val="hybridMultilevel"/>
    <w:tmpl w:val="80E69884"/>
    <w:lvl w:ilvl="0" w:tplc="04090001">
      <w:start w:val="1"/>
      <w:numFmt w:val="bullet"/>
      <w:lvlText w:val=""/>
      <w:lvlJc w:val="left"/>
      <w:pPr>
        <w:ind w:left="668" w:hanging="360"/>
      </w:pPr>
      <w:rPr>
        <w:rFonts w:ascii="Symbol" w:hAnsi="Symbol"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3">
    <w:nsid w:val="0B2F3234"/>
    <w:multiLevelType w:val="hybridMultilevel"/>
    <w:tmpl w:val="666241EA"/>
    <w:lvl w:ilvl="0" w:tplc="F0687A3E">
      <w:start w:val="1"/>
      <w:numFmt w:val="bullet"/>
      <w:lvlText w:val="-"/>
      <w:lvlJc w:val="left"/>
      <w:pPr>
        <w:ind w:left="720" w:hanging="360"/>
      </w:pPr>
      <w:rPr>
        <w:rFonts w:ascii="Adobe Arabic" w:hAnsi="Adobe Arabic"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6932D2"/>
    <w:multiLevelType w:val="multilevel"/>
    <w:tmpl w:val="BDAA950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3781953"/>
    <w:multiLevelType w:val="hybridMultilevel"/>
    <w:tmpl w:val="625275B8"/>
    <w:lvl w:ilvl="0" w:tplc="0409000F">
      <w:start w:val="1"/>
      <w:numFmt w:val="decimal"/>
      <w:lvlText w:val="%1."/>
      <w:lvlJc w:val="left"/>
      <w:pPr>
        <w:ind w:left="668" w:hanging="360"/>
      </w:pPr>
    </w:lvl>
    <w:lvl w:ilvl="1" w:tplc="04090019" w:tentative="1">
      <w:start w:val="1"/>
      <w:numFmt w:val="lowerLetter"/>
      <w:lvlText w:val="%2."/>
      <w:lvlJc w:val="left"/>
      <w:pPr>
        <w:ind w:left="1388" w:hanging="360"/>
      </w:pPr>
    </w:lvl>
    <w:lvl w:ilvl="2" w:tplc="0409001B" w:tentative="1">
      <w:start w:val="1"/>
      <w:numFmt w:val="lowerRoman"/>
      <w:lvlText w:val="%3."/>
      <w:lvlJc w:val="right"/>
      <w:pPr>
        <w:ind w:left="2108" w:hanging="180"/>
      </w:pPr>
    </w:lvl>
    <w:lvl w:ilvl="3" w:tplc="0409000F" w:tentative="1">
      <w:start w:val="1"/>
      <w:numFmt w:val="decimal"/>
      <w:lvlText w:val="%4."/>
      <w:lvlJc w:val="left"/>
      <w:pPr>
        <w:ind w:left="2828" w:hanging="360"/>
      </w:pPr>
    </w:lvl>
    <w:lvl w:ilvl="4" w:tplc="04090019" w:tentative="1">
      <w:start w:val="1"/>
      <w:numFmt w:val="lowerLetter"/>
      <w:lvlText w:val="%5."/>
      <w:lvlJc w:val="left"/>
      <w:pPr>
        <w:ind w:left="3548" w:hanging="360"/>
      </w:pPr>
    </w:lvl>
    <w:lvl w:ilvl="5" w:tplc="0409001B" w:tentative="1">
      <w:start w:val="1"/>
      <w:numFmt w:val="lowerRoman"/>
      <w:lvlText w:val="%6."/>
      <w:lvlJc w:val="right"/>
      <w:pPr>
        <w:ind w:left="4268" w:hanging="180"/>
      </w:pPr>
    </w:lvl>
    <w:lvl w:ilvl="6" w:tplc="0409000F" w:tentative="1">
      <w:start w:val="1"/>
      <w:numFmt w:val="decimal"/>
      <w:lvlText w:val="%7."/>
      <w:lvlJc w:val="left"/>
      <w:pPr>
        <w:ind w:left="4988" w:hanging="360"/>
      </w:pPr>
    </w:lvl>
    <w:lvl w:ilvl="7" w:tplc="04090019" w:tentative="1">
      <w:start w:val="1"/>
      <w:numFmt w:val="lowerLetter"/>
      <w:lvlText w:val="%8."/>
      <w:lvlJc w:val="left"/>
      <w:pPr>
        <w:ind w:left="5708" w:hanging="360"/>
      </w:pPr>
    </w:lvl>
    <w:lvl w:ilvl="8" w:tplc="0409001B" w:tentative="1">
      <w:start w:val="1"/>
      <w:numFmt w:val="lowerRoman"/>
      <w:lvlText w:val="%9."/>
      <w:lvlJc w:val="right"/>
      <w:pPr>
        <w:ind w:left="6428" w:hanging="180"/>
      </w:pPr>
    </w:lvl>
  </w:abstractNum>
  <w:abstractNum w:abstractNumId="6">
    <w:nsid w:val="198D75FC"/>
    <w:multiLevelType w:val="hybridMultilevel"/>
    <w:tmpl w:val="29504D9C"/>
    <w:lvl w:ilvl="0" w:tplc="B5B21E0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EE6502"/>
    <w:multiLevelType w:val="hybridMultilevel"/>
    <w:tmpl w:val="B7582514"/>
    <w:lvl w:ilvl="0" w:tplc="04090001">
      <w:start w:val="1"/>
      <w:numFmt w:val="bullet"/>
      <w:lvlText w:val=""/>
      <w:lvlJc w:val="left"/>
      <w:pPr>
        <w:ind w:left="668" w:hanging="360"/>
      </w:pPr>
      <w:rPr>
        <w:rFonts w:ascii="Symbol" w:hAnsi="Symbol"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8">
    <w:nsid w:val="34EE54B1"/>
    <w:multiLevelType w:val="hybridMultilevel"/>
    <w:tmpl w:val="71D687CC"/>
    <w:lvl w:ilvl="0" w:tplc="1D409054">
      <w:start w:val="1"/>
      <w:numFmt w:val="bullet"/>
      <w:lvlText w:val=""/>
      <w:lvlJc w:val="left"/>
      <w:pPr>
        <w:ind w:left="720" w:hanging="360"/>
      </w:pPr>
      <w:rPr>
        <w:rFonts w:ascii="Symbol" w:hAnsi="Symbol" w:hint="default"/>
        <w:color w:val="181F4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0A5D03"/>
    <w:multiLevelType w:val="hybridMultilevel"/>
    <w:tmpl w:val="FD08C8A0"/>
    <w:lvl w:ilvl="0" w:tplc="04090001">
      <w:start w:val="1"/>
      <w:numFmt w:val="bullet"/>
      <w:lvlText w:val=""/>
      <w:lvlJc w:val="left"/>
      <w:pPr>
        <w:ind w:left="1388" w:hanging="360"/>
      </w:pPr>
      <w:rPr>
        <w:rFonts w:ascii="Symbol" w:hAnsi="Symbol" w:hint="default"/>
      </w:rPr>
    </w:lvl>
    <w:lvl w:ilvl="1" w:tplc="04090003" w:tentative="1">
      <w:start w:val="1"/>
      <w:numFmt w:val="bullet"/>
      <w:lvlText w:val="o"/>
      <w:lvlJc w:val="left"/>
      <w:pPr>
        <w:ind w:left="2108" w:hanging="360"/>
      </w:pPr>
      <w:rPr>
        <w:rFonts w:ascii="Courier New" w:hAnsi="Courier New" w:cs="Courier New" w:hint="default"/>
      </w:rPr>
    </w:lvl>
    <w:lvl w:ilvl="2" w:tplc="04090005" w:tentative="1">
      <w:start w:val="1"/>
      <w:numFmt w:val="bullet"/>
      <w:lvlText w:val=""/>
      <w:lvlJc w:val="left"/>
      <w:pPr>
        <w:ind w:left="2828" w:hanging="360"/>
      </w:pPr>
      <w:rPr>
        <w:rFonts w:ascii="Wingdings" w:hAnsi="Wingdings" w:hint="default"/>
      </w:rPr>
    </w:lvl>
    <w:lvl w:ilvl="3" w:tplc="04090001" w:tentative="1">
      <w:start w:val="1"/>
      <w:numFmt w:val="bullet"/>
      <w:lvlText w:val=""/>
      <w:lvlJc w:val="left"/>
      <w:pPr>
        <w:ind w:left="3548" w:hanging="360"/>
      </w:pPr>
      <w:rPr>
        <w:rFonts w:ascii="Symbol" w:hAnsi="Symbol" w:hint="default"/>
      </w:rPr>
    </w:lvl>
    <w:lvl w:ilvl="4" w:tplc="04090003" w:tentative="1">
      <w:start w:val="1"/>
      <w:numFmt w:val="bullet"/>
      <w:lvlText w:val="o"/>
      <w:lvlJc w:val="left"/>
      <w:pPr>
        <w:ind w:left="4268" w:hanging="360"/>
      </w:pPr>
      <w:rPr>
        <w:rFonts w:ascii="Courier New" w:hAnsi="Courier New" w:cs="Courier New" w:hint="default"/>
      </w:rPr>
    </w:lvl>
    <w:lvl w:ilvl="5" w:tplc="04090005" w:tentative="1">
      <w:start w:val="1"/>
      <w:numFmt w:val="bullet"/>
      <w:lvlText w:val=""/>
      <w:lvlJc w:val="left"/>
      <w:pPr>
        <w:ind w:left="4988" w:hanging="360"/>
      </w:pPr>
      <w:rPr>
        <w:rFonts w:ascii="Wingdings" w:hAnsi="Wingdings" w:hint="default"/>
      </w:rPr>
    </w:lvl>
    <w:lvl w:ilvl="6" w:tplc="04090001" w:tentative="1">
      <w:start w:val="1"/>
      <w:numFmt w:val="bullet"/>
      <w:lvlText w:val=""/>
      <w:lvlJc w:val="left"/>
      <w:pPr>
        <w:ind w:left="5708" w:hanging="360"/>
      </w:pPr>
      <w:rPr>
        <w:rFonts w:ascii="Symbol" w:hAnsi="Symbol" w:hint="default"/>
      </w:rPr>
    </w:lvl>
    <w:lvl w:ilvl="7" w:tplc="04090003" w:tentative="1">
      <w:start w:val="1"/>
      <w:numFmt w:val="bullet"/>
      <w:lvlText w:val="o"/>
      <w:lvlJc w:val="left"/>
      <w:pPr>
        <w:ind w:left="6428" w:hanging="360"/>
      </w:pPr>
      <w:rPr>
        <w:rFonts w:ascii="Courier New" w:hAnsi="Courier New" w:cs="Courier New" w:hint="default"/>
      </w:rPr>
    </w:lvl>
    <w:lvl w:ilvl="8" w:tplc="04090005" w:tentative="1">
      <w:start w:val="1"/>
      <w:numFmt w:val="bullet"/>
      <w:lvlText w:val=""/>
      <w:lvlJc w:val="left"/>
      <w:pPr>
        <w:ind w:left="7148" w:hanging="360"/>
      </w:pPr>
      <w:rPr>
        <w:rFonts w:ascii="Wingdings" w:hAnsi="Wingdings" w:hint="default"/>
      </w:rPr>
    </w:lvl>
  </w:abstractNum>
  <w:abstractNum w:abstractNumId="10">
    <w:nsid w:val="46364E1E"/>
    <w:multiLevelType w:val="hybridMultilevel"/>
    <w:tmpl w:val="2DF20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C72126"/>
    <w:multiLevelType w:val="hybridMultilevel"/>
    <w:tmpl w:val="B9E4D72E"/>
    <w:lvl w:ilvl="0" w:tplc="B5B21E00">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2">
    <w:nsid w:val="4C826EE9"/>
    <w:multiLevelType w:val="hybridMultilevel"/>
    <w:tmpl w:val="DD6AC41A"/>
    <w:lvl w:ilvl="0" w:tplc="04090001">
      <w:start w:val="1"/>
      <w:numFmt w:val="bullet"/>
      <w:lvlText w:val=""/>
      <w:lvlJc w:val="left"/>
      <w:pPr>
        <w:ind w:left="668" w:hanging="360"/>
      </w:pPr>
      <w:rPr>
        <w:rFonts w:ascii="Symbol" w:hAnsi="Symbol"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13">
    <w:nsid w:val="53454C38"/>
    <w:multiLevelType w:val="hybridMultilevel"/>
    <w:tmpl w:val="84369062"/>
    <w:lvl w:ilvl="0" w:tplc="04090001">
      <w:start w:val="1"/>
      <w:numFmt w:val="bullet"/>
      <w:lvlText w:val=""/>
      <w:lvlJc w:val="left"/>
      <w:pPr>
        <w:ind w:left="668" w:hanging="360"/>
      </w:pPr>
      <w:rPr>
        <w:rFonts w:ascii="Symbol" w:hAnsi="Symbol"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14">
    <w:nsid w:val="54853D8A"/>
    <w:multiLevelType w:val="hybridMultilevel"/>
    <w:tmpl w:val="C6A0781A"/>
    <w:lvl w:ilvl="0" w:tplc="04090001">
      <w:start w:val="1"/>
      <w:numFmt w:val="bullet"/>
      <w:lvlText w:val=""/>
      <w:lvlJc w:val="left"/>
      <w:pPr>
        <w:ind w:left="668" w:hanging="360"/>
      </w:pPr>
      <w:rPr>
        <w:rFonts w:ascii="Symbol" w:hAnsi="Symbol"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15">
    <w:nsid w:val="59CC2FF8"/>
    <w:multiLevelType w:val="hybridMultilevel"/>
    <w:tmpl w:val="F31E77B2"/>
    <w:lvl w:ilvl="0" w:tplc="F0687A3E">
      <w:start w:val="1"/>
      <w:numFmt w:val="bullet"/>
      <w:lvlText w:val="-"/>
      <w:lvlJc w:val="left"/>
      <w:pPr>
        <w:ind w:left="720" w:hanging="360"/>
      </w:pPr>
      <w:rPr>
        <w:rFonts w:ascii="Adobe Arabic" w:hAnsi="Adobe Arabic" w:hint="default"/>
        <w:color w:val="auto"/>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A61890"/>
    <w:multiLevelType w:val="hybridMultilevel"/>
    <w:tmpl w:val="0B203FCC"/>
    <w:lvl w:ilvl="0" w:tplc="0409000F">
      <w:start w:val="1"/>
      <w:numFmt w:val="decimal"/>
      <w:lvlText w:val="%1."/>
      <w:lvlJc w:val="left"/>
      <w:pPr>
        <w:ind w:left="308" w:hanging="360"/>
      </w:pPr>
      <w:rPr>
        <w:rFonts w:hint="default"/>
      </w:rPr>
    </w:lvl>
    <w:lvl w:ilvl="1" w:tplc="04090019" w:tentative="1">
      <w:start w:val="1"/>
      <w:numFmt w:val="lowerLetter"/>
      <w:lvlText w:val="%2."/>
      <w:lvlJc w:val="left"/>
      <w:pPr>
        <w:ind w:left="1028" w:hanging="360"/>
      </w:pPr>
    </w:lvl>
    <w:lvl w:ilvl="2" w:tplc="0409001B" w:tentative="1">
      <w:start w:val="1"/>
      <w:numFmt w:val="lowerRoman"/>
      <w:lvlText w:val="%3."/>
      <w:lvlJc w:val="right"/>
      <w:pPr>
        <w:ind w:left="1748" w:hanging="180"/>
      </w:pPr>
    </w:lvl>
    <w:lvl w:ilvl="3" w:tplc="0409000F" w:tentative="1">
      <w:start w:val="1"/>
      <w:numFmt w:val="decimal"/>
      <w:lvlText w:val="%4."/>
      <w:lvlJc w:val="left"/>
      <w:pPr>
        <w:ind w:left="2468" w:hanging="360"/>
      </w:pPr>
    </w:lvl>
    <w:lvl w:ilvl="4" w:tplc="04090019" w:tentative="1">
      <w:start w:val="1"/>
      <w:numFmt w:val="lowerLetter"/>
      <w:lvlText w:val="%5."/>
      <w:lvlJc w:val="left"/>
      <w:pPr>
        <w:ind w:left="3188" w:hanging="360"/>
      </w:pPr>
    </w:lvl>
    <w:lvl w:ilvl="5" w:tplc="0409001B" w:tentative="1">
      <w:start w:val="1"/>
      <w:numFmt w:val="lowerRoman"/>
      <w:lvlText w:val="%6."/>
      <w:lvlJc w:val="right"/>
      <w:pPr>
        <w:ind w:left="3908" w:hanging="180"/>
      </w:pPr>
    </w:lvl>
    <w:lvl w:ilvl="6" w:tplc="0409000F" w:tentative="1">
      <w:start w:val="1"/>
      <w:numFmt w:val="decimal"/>
      <w:lvlText w:val="%7."/>
      <w:lvlJc w:val="left"/>
      <w:pPr>
        <w:ind w:left="4628" w:hanging="360"/>
      </w:pPr>
    </w:lvl>
    <w:lvl w:ilvl="7" w:tplc="04090019" w:tentative="1">
      <w:start w:val="1"/>
      <w:numFmt w:val="lowerLetter"/>
      <w:lvlText w:val="%8."/>
      <w:lvlJc w:val="left"/>
      <w:pPr>
        <w:ind w:left="5348" w:hanging="360"/>
      </w:pPr>
    </w:lvl>
    <w:lvl w:ilvl="8" w:tplc="0409001B" w:tentative="1">
      <w:start w:val="1"/>
      <w:numFmt w:val="lowerRoman"/>
      <w:lvlText w:val="%9."/>
      <w:lvlJc w:val="right"/>
      <w:pPr>
        <w:ind w:left="6068" w:hanging="180"/>
      </w:pPr>
    </w:lvl>
  </w:abstractNum>
  <w:abstractNum w:abstractNumId="17">
    <w:nsid w:val="67B1454B"/>
    <w:multiLevelType w:val="hybridMultilevel"/>
    <w:tmpl w:val="BBECBE4C"/>
    <w:lvl w:ilvl="0" w:tplc="04090001">
      <w:start w:val="1"/>
      <w:numFmt w:val="bullet"/>
      <w:lvlText w:val=""/>
      <w:lvlJc w:val="left"/>
      <w:pPr>
        <w:ind w:left="699" w:hanging="360"/>
      </w:pPr>
      <w:rPr>
        <w:rFonts w:ascii="Symbol" w:hAnsi="Symbol" w:hint="default"/>
      </w:rPr>
    </w:lvl>
    <w:lvl w:ilvl="1" w:tplc="04090003">
      <w:start w:val="1"/>
      <w:numFmt w:val="bullet"/>
      <w:lvlText w:val="o"/>
      <w:lvlJc w:val="left"/>
      <w:pPr>
        <w:ind w:left="1419" w:hanging="360"/>
      </w:pPr>
      <w:rPr>
        <w:rFonts w:ascii="Courier New" w:hAnsi="Courier New" w:cs="Courier New" w:hint="default"/>
      </w:rPr>
    </w:lvl>
    <w:lvl w:ilvl="2" w:tplc="04090005">
      <w:start w:val="1"/>
      <w:numFmt w:val="bullet"/>
      <w:lvlText w:val=""/>
      <w:lvlJc w:val="left"/>
      <w:pPr>
        <w:ind w:left="2139" w:hanging="360"/>
      </w:pPr>
      <w:rPr>
        <w:rFonts w:ascii="Wingdings" w:hAnsi="Wingdings" w:hint="default"/>
      </w:rPr>
    </w:lvl>
    <w:lvl w:ilvl="3" w:tplc="04090001">
      <w:start w:val="1"/>
      <w:numFmt w:val="bullet"/>
      <w:lvlText w:val=""/>
      <w:lvlJc w:val="left"/>
      <w:pPr>
        <w:ind w:left="2859" w:hanging="360"/>
      </w:pPr>
      <w:rPr>
        <w:rFonts w:ascii="Symbol" w:hAnsi="Symbol" w:hint="default"/>
      </w:rPr>
    </w:lvl>
    <w:lvl w:ilvl="4" w:tplc="04090003">
      <w:start w:val="1"/>
      <w:numFmt w:val="bullet"/>
      <w:lvlText w:val="o"/>
      <w:lvlJc w:val="left"/>
      <w:pPr>
        <w:ind w:left="3579" w:hanging="360"/>
      </w:pPr>
      <w:rPr>
        <w:rFonts w:ascii="Courier New" w:hAnsi="Courier New" w:cs="Courier New" w:hint="default"/>
      </w:rPr>
    </w:lvl>
    <w:lvl w:ilvl="5" w:tplc="04090005">
      <w:start w:val="1"/>
      <w:numFmt w:val="bullet"/>
      <w:lvlText w:val=""/>
      <w:lvlJc w:val="left"/>
      <w:pPr>
        <w:ind w:left="4299" w:hanging="360"/>
      </w:pPr>
      <w:rPr>
        <w:rFonts w:ascii="Wingdings" w:hAnsi="Wingdings" w:hint="default"/>
      </w:rPr>
    </w:lvl>
    <w:lvl w:ilvl="6" w:tplc="04090001">
      <w:start w:val="1"/>
      <w:numFmt w:val="bullet"/>
      <w:lvlText w:val=""/>
      <w:lvlJc w:val="left"/>
      <w:pPr>
        <w:ind w:left="5019" w:hanging="360"/>
      </w:pPr>
      <w:rPr>
        <w:rFonts w:ascii="Symbol" w:hAnsi="Symbol" w:hint="default"/>
      </w:rPr>
    </w:lvl>
    <w:lvl w:ilvl="7" w:tplc="04090003">
      <w:start w:val="1"/>
      <w:numFmt w:val="bullet"/>
      <w:lvlText w:val="o"/>
      <w:lvlJc w:val="left"/>
      <w:pPr>
        <w:ind w:left="5739" w:hanging="360"/>
      </w:pPr>
      <w:rPr>
        <w:rFonts w:ascii="Courier New" w:hAnsi="Courier New" w:cs="Courier New" w:hint="default"/>
      </w:rPr>
    </w:lvl>
    <w:lvl w:ilvl="8" w:tplc="04090005">
      <w:start w:val="1"/>
      <w:numFmt w:val="bullet"/>
      <w:lvlText w:val=""/>
      <w:lvlJc w:val="left"/>
      <w:pPr>
        <w:ind w:left="6459" w:hanging="360"/>
      </w:pPr>
      <w:rPr>
        <w:rFonts w:ascii="Wingdings" w:hAnsi="Wingdings" w:hint="default"/>
      </w:rPr>
    </w:lvl>
  </w:abstractNum>
  <w:abstractNum w:abstractNumId="18">
    <w:nsid w:val="6801465A"/>
    <w:multiLevelType w:val="hybridMultilevel"/>
    <w:tmpl w:val="7714DCF8"/>
    <w:lvl w:ilvl="0" w:tplc="04090005">
      <w:start w:val="1"/>
      <w:numFmt w:val="bullet"/>
      <w:lvlText w:val=""/>
      <w:lvlJc w:val="left"/>
      <w:pPr>
        <w:ind w:left="1419" w:hanging="360"/>
      </w:pPr>
      <w:rPr>
        <w:rFonts w:ascii="Wingdings" w:hAnsi="Wingdings" w:hint="default"/>
      </w:rPr>
    </w:lvl>
    <w:lvl w:ilvl="1" w:tplc="04090019">
      <w:start w:val="1"/>
      <w:numFmt w:val="lowerLetter"/>
      <w:lvlText w:val="%2."/>
      <w:lvlJc w:val="left"/>
      <w:pPr>
        <w:ind w:left="2139" w:hanging="360"/>
      </w:pPr>
    </w:lvl>
    <w:lvl w:ilvl="2" w:tplc="0409001B">
      <w:start w:val="1"/>
      <w:numFmt w:val="lowerRoman"/>
      <w:lvlText w:val="%3."/>
      <w:lvlJc w:val="right"/>
      <w:pPr>
        <w:ind w:left="2859" w:hanging="180"/>
      </w:pPr>
    </w:lvl>
    <w:lvl w:ilvl="3" w:tplc="0409000F">
      <w:start w:val="1"/>
      <w:numFmt w:val="decimal"/>
      <w:lvlText w:val="%4."/>
      <w:lvlJc w:val="left"/>
      <w:pPr>
        <w:ind w:left="3579" w:hanging="360"/>
      </w:pPr>
    </w:lvl>
    <w:lvl w:ilvl="4" w:tplc="04090019">
      <w:start w:val="1"/>
      <w:numFmt w:val="lowerLetter"/>
      <w:lvlText w:val="%5."/>
      <w:lvlJc w:val="left"/>
      <w:pPr>
        <w:ind w:left="4299" w:hanging="360"/>
      </w:pPr>
    </w:lvl>
    <w:lvl w:ilvl="5" w:tplc="0409001B">
      <w:start w:val="1"/>
      <w:numFmt w:val="lowerRoman"/>
      <w:lvlText w:val="%6."/>
      <w:lvlJc w:val="right"/>
      <w:pPr>
        <w:ind w:left="5019" w:hanging="180"/>
      </w:pPr>
    </w:lvl>
    <w:lvl w:ilvl="6" w:tplc="0409000F">
      <w:start w:val="1"/>
      <w:numFmt w:val="decimal"/>
      <w:lvlText w:val="%7."/>
      <w:lvlJc w:val="left"/>
      <w:pPr>
        <w:ind w:left="5739" w:hanging="360"/>
      </w:pPr>
    </w:lvl>
    <w:lvl w:ilvl="7" w:tplc="04090019">
      <w:start w:val="1"/>
      <w:numFmt w:val="lowerLetter"/>
      <w:lvlText w:val="%8."/>
      <w:lvlJc w:val="left"/>
      <w:pPr>
        <w:ind w:left="6459" w:hanging="360"/>
      </w:pPr>
    </w:lvl>
    <w:lvl w:ilvl="8" w:tplc="0409001B">
      <w:start w:val="1"/>
      <w:numFmt w:val="lowerRoman"/>
      <w:lvlText w:val="%9."/>
      <w:lvlJc w:val="right"/>
      <w:pPr>
        <w:ind w:left="7179" w:hanging="180"/>
      </w:pPr>
    </w:lvl>
  </w:abstractNum>
  <w:abstractNum w:abstractNumId="19">
    <w:nsid w:val="6AC71A81"/>
    <w:multiLevelType w:val="hybridMultilevel"/>
    <w:tmpl w:val="1744084A"/>
    <w:lvl w:ilvl="0" w:tplc="D9EA61E6">
      <w:numFmt w:val="bullet"/>
      <w:lvlText w:val="-"/>
      <w:lvlJc w:val="left"/>
      <w:pPr>
        <w:ind w:left="720" w:hanging="360"/>
      </w:pPr>
      <w:rPr>
        <w:rFonts w:ascii="Almoni DL AAA" w:eastAsia="Times New Roman" w:hAnsi="Almoni DL AA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7F078A"/>
    <w:multiLevelType w:val="hybridMultilevel"/>
    <w:tmpl w:val="F96C43D6"/>
    <w:lvl w:ilvl="0" w:tplc="04090001">
      <w:start w:val="1"/>
      <w:numFmt w:val="bullet"/>
      <w:lvlText w:val=""/>
      <w:lvlJc w:val="left"/>
      <w:pPr>
        <w:ind w:left="668" w:hanging="360"/>
      </w:pPr>
      <w:rPr>
        <w:rFonts w:ascii="Symbol" w:hAnsi="Symbol"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21">
    <w:nsid w:val="74373911"/>
    <w:multiLevelType w:val="hybridMultilevel"/>
    <w:tmpl w:val="7576B5A4"/>
    <w:lvl w:ilvl="0" w:tplc="D58C0360">
      <w:start w:val="1"/>
      <w:numFmt w:val="bullet"/>
      <w:lvlText w:val=""/>
      <w:lvlJc w:val="left"/>
      <w:pPr>
        <w:ind w:left="720" w:hanging="360"/>
      </w:pPr>
      <w:rPr>
        <w:rFonts w:ascii="Wingdings" w:hAnsi="Wingdings"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5F2B84"/>
    <w:multiLevelType w:val="hybridMultilevel"/>
    <w:tmpl w:val="3C3052A6"/>
    <w:lvl w:ilvl="0" w:tplc="04090001">
      <w:start w:val="1"/>
      <w:numFmt w:val="bullet"/>
      <w:lvlText w:val=""/>
      <w:lvlJc w:val="left"/>
      <w:pPr>
        <w:ind w:left="668" w:hanging="360"/>
      </w:pPr>
      <w:rPr>
        <w:rFonts w:ascii="Symbol" w:hAnsi="Symbol"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23">
    <w:nsid w:val="762425AF"/>
    <w:multiLevelType w:val="hybridMultilevel"/>
    <w:tmpl w:val="C742B9E6"/>
    <w:lvl w:ilvl="0" w:tplc="04090001">
      <w:start w:val="1"/>
      <w:numFmt w:val="bullet"/>
      <w:lvlText w:val=""/>
      <w:lvlJc w:val="left"/>
      <w:pPr>
        <w:ind w:left="668" w:hanging="360"/>
      </w:pPr>
      <w:rPr>
        <w:rFonts w:ascii="Symbol" w:hAnsi="Symbol"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24">
    <w:nsid w:val="77902CDF"/>
    <w:multiLevelType w:val="hybridMultilevel"/>
    <w:tmpl w:val="3BC0963C"/>
    <w:lvl w:ilvl="0" w:tplc="04090001">
      <w:start w:val="1"/>
      <w:numFmt w:val="bullet"/>
      <w:lvlText w:val=""/>
      <w:lvlJc w:val="left"/>
      <w:pPr>
        <w:ind w:left="699" w:hanging="360"/>
      </w:pPr>
      <w:rPr>
        <w:rFonts w:ascii="Symbol" w:hAnsi="Symbol" w:hint="default"/>
      </w:rPr>
    </w:lvl>
    <w:lvl w:ilvl="1" w:tplc="04090003">
      <w:start w:val="1"/>
      <w:numFmt w:val="bullet"/>
      <w:lvlText w:val="o"/>
      <w:lvlJc w:val="left"/>
      <w:pPr>
        <w:ind w:left="1419" w:hanging="360"/>
      </w:pPr>
      <w:rPr>
        <w:rFonts w:ascii="Courier New" w:hAnsi="Courier New" w:cs="Courier New" w:hint="default"/>
      </w:rPr>
    </w:lvl>
    <w:lvl w:ilvl="2" w:tplc="04090005">
      <w:start w:val="1"/>
      <w:numFmt w:val="bullet"/>
      <w:lvlText w:val=""/>
      <w:lvlJc w:val="left"/>
      <w:pPr>
        <w:ind w:left="2139" w:hanging="360"/>
      </w:pPr>
      <w:rPr>
        <w:rFonts w:ascii="Wingdings" w:hAnsi="Wingdings" w:hint="default"/>
      </w:rPr>
    </w:lvl>
    <w:lvl w:ilvl="3" w:tplc="04090001">
      <w:start w:val="1"/>
      <w:numFmt w:val="bullet"/>
      <w:lvlText w:val=""/>
      <w:lvlJc w:val="left"/>
      <w:pPr>
        <w:ind w:left="2859" w:hanging="360"/>
      </w:pPr>
      <w:rPr>
        <w:rFonts w:ascii="Symbol" w:hAnsi="Symbol" w:hint="default"/>
      </w:rPr>
    </w:lvl>
    <w:lvl w:ilvl="4" w:tplc="04090003">
      <w:start w:val="1"/>
      <w:numFmt w:val="bullet"/>
      <w:lvlText w:val="o"/>
      <w:lvlJc w:val="left"/>
      <w:pPr>
        <w:ind w:left="3579" w:hanging="360"/>
      </w:pPr>
      <w:rPr>
        <w:rFonts w:ascii="Courier New" w:hAnsi="Courier New" w:cs="Courier New" w:hint="default"/>
      </w:rPr>
    </w:lvl>
    <w:lvl w:ilvl="5" w:tplc="04090005">
      <w:start w:val="1"/>
      <w:numFmt w:val="bullet"/>
      <w:lvlText w:val=""/>
      <w:lvlJc w:val="left"/>
      <w:pPr>
        <w:ind w:left="4299" w:hanging="360"/>
      </w:pPr>
      <w:rPr>
        <w:rFonts w:ascii="Wingdings" w:hAnsi="Wingdings" w:hint="default"/>
      </w:rPr>
    </w:lvl>
    <w:lvl w:ilvl="6" w:tplc="04090001">
      <w:start w:val="1"/>
      <w:numFmt w:val="bullet"/>
      <w:lvlText w:val=""/>
      <w:lvlJc w:val="left"/>
      <w:pPr>
        <w:ind w:left="5019" w:hanging="360"/>
      </w:pPr>
      <w:rPr>
        <w:rFonts w:ascii="Symbol" w:hAnsi="Symbol" w:hint="default"/>
      </w:rPr>
    </w:lvl>
    <w:lvl w:ilvl="7" w:tplc="04090003">
      <w:start w:val="1"/>
      <w:numFmt w:val="bullet"/>
      <w:lvlText w:val="o"/>
      <w:lvlJc w:val="left"/>
      <w:pPr>
        <w:ind w:left="5739" w:hanging="360"/>
      </w:pPr>
      <w:rPr>
        <w:rFonts w:ascii="Courier New" w:hAnsi="Courier New" w:cs="Courier New" w:hint="default"/>
      </w:rPr>
    </w:lvl>
    <w:lvl w:ilvl="8" w:tplc="04090005">
      <w:start w:val="1"/>
      <w:numFmt w:val="bullet"/>
      <w:lvlText w:val=""/>
      <w:lvlJc w:val="left"/>
      <w:pPr>
        <w:ind w:left="6459" w:hanging="360"/>
      </w:pPr>
      <w:rPr>
        <w:rFonts w:ascii="Wingdings" w:hAnsi="Wingdings" w:hint="default"/>
      </w:rPr>
    </w:lvl>
  </w:abstractNum>
  <w:abstractNum w:abstractNumId="25">
    <w:nsid w:val="795D43E5"/>
    <w:multiLevelType w:val="hybridMultilevel"/>
    <w:tmpl w:val="F4D2D7DE"/>
    <w:lvl w:ilvl="0" w:tplc="F0687A3E">
      <w:start w:val="1"/>
      <w:numFmt w:val="bullet"/>
      <w:lvlText w:val="-"/>
      <w:lvlJc w:val="left"/>
      <w:pPr>
        <w:ind w:left="699" w:hanging="360"/>
      </w:pPr>
      <w:rPr>
        <w:rFonts w:ascii="Adobe Arabic" w:hAnsi="Adobe Arabic" w:hint="default"/>
        <w:color w:val="auto"/>
      </w:rPr>
    </w:lvl>
    <w:lvl w:ilvl="1" w:tplc="04090003" w:tentative="1">
      <w:start w:val="1"/>
      <w:numFmt w:val="bullet"/>
      <w:lvlText w:val="o"/>
      <w:lvlJc w:val="left"/>
      <w:pPr>
        <w:ind w:left="1419" w:hanging="360"/>
      </w:pPr>
      <w:rPr>
        <w:rFonts w:ascii="Courier New" w:hAnsi="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26">
    <w:nsid w:val="7B4D1A40"/>
    <w:multiLevelType w:val="hybridMultilevel"/>
    <w:tmpl w:val="635A0EE0"/>
    <w:lvl w:ilvl="0" w:tplc="04090001">
      <w:start w:val="1"/>
      <w:numFmt w:val="bullet"/>
      <w:lvlText w:val=""/>
      <w:lvlJc w:val="left"/>
      <w:pPr>
        <w:ind w:left="1028" w:hanging="360"/>
      </w:pPr>
      <w:rPr>
        <w:rFonts w:ascii="Symbol" w:hAnsi="Symbol" w:hint="default"/>
      </w:rPr>
    </w:lvl>
    <w:lvl w:ilvl="1" w:tplc="04090003" w:tentative="1">
      <w:start w:val="1"/>
      <w:numFmt w:val="bullet"/>
      <w:lvlText w:val="o"/>
      <w:lvlJc w:val="left"/>
      <w:pPr>
        <w:ind w:left="1748" w:hanging="360"/>
      </w:pPr>
      <w:rPr>
        <w:rFonts w:ascii="Courier New" w:hAnsi="Courier New" w:cs="Courier New" w:hint="default"/>
      </w:rPr>
    </w:lvl>
    <w:lvl w:ilvl="2" w:tplc="04090005" w:tentative="1">
      <w:start w:val="1"/>
      <w:numFmt w:val="bullet"/>
      <w:lvlText w:val=""/>
      <w:lvlJc w:val="left"/>
      <w:pPr>
        <w:ind w:left="2468" w:hanging="360"/>
      </w:pPr>
      <w:rPr>
        <w:rFonts w:ascii="Wingdings" w:hAnsi="Wingdings" w:hint="default"/>
      </w:rPr>
    </w:lvl>
    <w:lvl w:ilvl="3" w:tplc="04090001" w:tentative="1">
      <w:start w:val="1"/>
      <w:numFmt w:val="bullet"/>
      <w:lvlText w:val=""/>
      <w:lvlJc w:val="left"/>
      <w:pPr>
        <w:ind w:left="3188" w:hanging="360"/>
      </w:pPr>
      <w:rPr>
        <w:rFonts w:ascii="Symbol" w:hAnsi="Symbol" w:hint="default"/>
      </w:rPr>
    </w:lvl>
    <w:lvl w:ilvl="4" w:tplc="04090003" w:tentative="1">
      <w:start w:val="1"/>
      <w:numFmt w:val="bullet"/>
      <w:lvlText w:val="o"/>
      <w:lvlJc w:val="left"/>
      <w:pPr>
        <w:ind w:left="3908" w:hanging="360"/>
      </w:pPr>
      <w:rPr>
        <w:rFonts w:ascii="Courier New" w:hAnsi="Courier New" w:cs="Courier New" w:hint="default"/>
      </w:rPr>
    </w:lvl>
    <w:lvl w:ilvl="5" w:tplc="04090005" w:tentative="1">
      <w:start w:val="1"/>
      <w:numFmt w:val="bullet"/>
      <w:lvlText w:val=""/>
      <w:lvlJc w:val="left"/>
      <w:pPr>
        <w:ind w:left="4628" w:hanging="360"/>
      </w:pPr>
      <w:rPr>
        <w:rFonts w:ascii="Wingdings" w:hAnsi="Wingdings" w:hint="default"/>
      </w:rPr>
    </w:lvl>
    <w:lvl w:ilvl="6" w:tplc="04090001" w:tentative="1">
      <w:start w:val="1"/>
      <w:numFmt w:val="bullet"/>
      <w:lvlText w:val=""/>
      <w:lvlJc w:val="left"/>
      <w:pPr>
        <w:ind w:left="5348" w:hanging="360"/>
      </w:pPr>
      <w:rPr>
        <w:rFonts w:ascii="Symbol" w:hAnsi="Symbol" w:hint="default"/>
      </w:rPr>
    </w:lvl>
    <w:lvl w:ilvl="7" w:tplc="04090003" w:tentative="1">
      <w:start w:val="1"/>
      <w:numFmt w:val="bullet"/>
      <w:lvlText w:val="o"/>
      <w:lvlJc w:val="left"/>
      <w:pPr>
        <w:ind w:left="6068" w:hanging="360"/>
      </w:pPr>
      <w:rPr>
        <w:rFonts w:ascii="Courier New" w:hAnsi="Courier New" w:cs="Courier New" w:hint="default"/>
      </w:rPr>
    </w:lvl>
    <w:lvl w:ilvl="8" w:tplc="04090005" w:tentative="1">
      <w:start w:val="1"/>
      <w:numFmt w:val="bullet"/>
      <w:lvlText w:val=""/>
      <w:lvlJc w:val="left"/>
      <w:pPr>
        <w:ind w:left="6788" w:hanging="360"/>
      </w:pPr>
      <w:rPr>
        <w:rFonts w:ascii="Wingdings" w:hAnsi="Wingdings" w:hint="default"/>
      </w:rPr>
    </w:lvl>
  </w:abstractNum>
  <w:num w:numId="1">
    <w:abstractNumId w:val="6"/>
  </w:num>
  <w:num w:numId="2">
    <w:abstractNumId w:val="3"/>
  </w:num>
  <w:num w:numId="3">
    <w:abstractNumId w:val="21"/>
  </w:num>
  <w:num w:numId="4">
    <w:abstractNumId w:val="15"/>
  </w:num>
  <w:num w:numId="5">
    <w:abstractNumId w:val="25"/>
  </w:num>
  <w:num w:numId="6">
    <w:abstractNumId w:val="11"/>
  </w:num>
  <w:num w:numId="7">
    <w:abstractNumId w:val="1"/>
  </w:num>
  <w:num w:numId="8">
    <w:abstractNumId w:val="0"/>
  </w:num>
  <w:num w:numId="9">
    <w:abstractNumId w:val="19"/>
  </w:num>
  <w:num w:numId="10">
    <w:abstractNumId w:val="17"/>
  </w:num>
  <w:num w:numId="11">
    <w:abstractNumId w:val="24"/>
  </w:num>
  <w:num w:numId="1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0"/>
  </w:num>
  <w:num w:numId="15">
    <w:abstractNumId w:val="16"/>
  </w:num>
  <w:num w:numId="16">
    <w:abstractNumId w:val="5"/>
  </w:num>
  <w:num w:numId="17">
    <w:abstractNumId w:val="7"/>
  </w:num>
  <w:num w:numId="18">
    <w:abstractNumId w:val="22"/>
  </w:num>
  <w:num w:numId="19">
    <w:abstractNumId w:val="13"/>
  </w:num>
  <w:num w:numId="20">
    <w:abstractNumId w:val="23"/>
  </w:num>
  <w:num w:numId="21">
    <w:abstractNumId w:val="12"/>
  </w:num>
  <w:num w:numId="22">
    <w:abstractNumId w:val="14"/>
  </w:num>
  <w:num w:numId="23">
    <w:abstractNumId w:val="2"/>
  </w:num>
  <w:num w:numId="24">
    <w:abstractNumId w:val="4"/>
  </w:num>
  <w:num w:numId="25">
    <w:abstractNumId w:val="20"/>
  </w:num>
  <w:num w:numId="26">
    <w:abstractNumId w:val="26"/>
  </w:num>
  <w:num w:numId="27">
    <w:abstractNumId w:val="8"/>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AFD"/>
    <w:rsid w:val="00006105"/>
    <w:rsid w:val="0002233F"/>
    <w:rsid w:val="0002301F"/>
    <w:rsid w:val="000245E5"/>
    <w:rsid w:val="00025527"/>
    <w:rsid w:val="000257A2"/>
    <w:rsid w:val="00027E31"/>
    <w:rsid w:val="000300E7"/>
    <w:rsid w:val="0003678D"/>
    <w:rsid w:val="00043FA9"/>
    <w:rsid w:val="00053591"/>
    <w:rsid w:val="00053C09"/>
    <w:rsid w:val="000542F6"/>
    <w:rsid w:val="000625FD"/>
    <w:rsid w:val="0007177A"/>
    <w:rsid w:val="00071F36"/>
    <w:rsid w:val="000742DB"/>
    <w:rsid w:val="00081939"/>
    <w:rsid w:val="00093E7F"/>
    <w:rsid w:val="00094580"/>
    <w:rsid w:val="000A343E"/>
    <w:rsid w:val="000A3DC3"/>
    <w:rsid w:val="000A5C39"/>
    <w:rsid w:val="000B2099"/>
    <w:rsid w:val="000B2F56"/>
    <w:rsid w:val="000B5383"/>
    <w:rsid w:val="000B650A"/>
    <w:rsid w:val="000C3511"/>
    <w:rsid w:val="000C7474"/>
    <w:rsid w:val="000C7667"/>
    <w:rsid w:val="000D34FE"/>
    <w:rsid w:val="000D4A30"/>
    <w:rsid w:val="000F007E"/>
    <w:rsid w:val="00101949"/>
    <w:rsid w:val="00101E65"/>
    <w:rsid w:val="0010350C"/>
    <w:rsid w:val="00105407"/>
    <w:rsid w:val="0011150A"/>
    <w:rsid w:val="00112AFD"/>
    <w:rsid w:val="001136D9"/>
    <w:rsid w:val="0011379D"/>
    <w:rsid w:val="00116B25"/>
    <w:rsid w:val="001226FE"/>
    <w:rsid w:val="001321C1"/>
    <w:rsid w:val="00144F5E"/>
    <w:rsid w:val="00145B67"/>
    <w:rsid w:val="001579E7"/>
    <w:rsid w:val="00157D19"/>
    <w:rsid w:val="00165932"/>
    <w:rsid w:val="00170573"/>
    <w:rsid w:val="00171F55"/>
    <w:rsid w:val="00172E65"/>
    <w:rsid w:val="00187027"/>
    <w:rsid w:val="001909A3"/>
    <w:rsid w:val="001943B3"/>
    <w:rsid w:val="00196C05"/>
    <w:rsid w:val="001A0101"/>
    <w:rsid w:val="001A5191"/>
    <w:rsid w:val="001A6431"/>
    <w:rsid w:val="001A769A"/>
    <w:rsid w:val="001B1357"/>
    <w:rsid w:val="001C610A"/>
    <w:rsid w:val="001C6221"/>
    <w:rsid w:val="001D01B7"/>
    <w:rsid w:val="001E4E5C"/>
    <w:rsid w:val="001E4FF1"/>
    <w:rsid w:val="0021381B"/>
    <w:rsid w:val="00213B5F"/>
    <w:rsid w:val="0022090D"/>
    <w:rsid w:val="00220D46"/>
    <w:rsid w:val="00222CBE"/>
    <w:rsid w:val="0023399E"/>
    <w:rsid w:val="00243357"/>
    <w:rsid w:val="0025565F"/>
    <w:rsid w:val="002600CA"/>
    <w:rsid w:val="0026187E"/>
    <w:rsid w:val="0027127D"/>
    <w:rsid w:val="00276505"/>
    <w:rsid w:val="00284CA8"/>
    <w:rsid w:val="002873CD"/>
    <w:rsid w:val="00292BAC"/>
    <w:rsid w:val="00292C81"/>
    <w:rsid w:val="00294AEA"/>
    <w:rsid w:val="00294C32"/>
    <w:rsid w:val="00295225"/>
    <w:rsid w:val="00296416"/>
    <w:rsid w:val="002A47B5"/>
    <w:rsid w:val="002A5BD2"/>
    <w:rsid w:val="002A5C45"/>
    <w:rsid w:val="002B25DB"/>
    <w:rsid w:val="002B3303"/>
    <w:rsid w:val="002B6234"/>
    <w:rsid w:val="002C5DF6"/>
    <w:rsid w:val="002D5533"/>
    <w:rsid w:val="002D6548"/>
    <w:rsid w:val="002D7428"/>
    <w:rsid w:val="002D79F6"/>
    <w:rsid w:val="002E48C2"/>
    <w:rsid w:val="002E5E7D"/>
    <w:rsid w:val="002E727F"/>
    <w:rsid w:val="002F0963"/>
    <w:rsid w:val="002F584C"/>
    <w:rsid w:val="002F669B"/>
    <w:rsid w:val="003024C5"/>
    <w:rsid w:val="00307012"/>
    <w:rsid w:val="003129B7"/>
    <w:rsid w:val="003160F4"/>
    <w:rsid w:val="00317844"/>
    <w:rsid w:val="003239C4"/>
    <w:rsid w:val="0032547D"/>
    <w:rsid w:val="00326930"/>
    <w:rsid w:val="003331CD"/>
    <w:rsid w:val="0033333D"/>
    <w:rsid w:val="00335F88"/>
    <w:rsid w:val="00336428"/>
    <w:rsid w:val="00342113"/>
    <w:rsid w:val="003431EB"/>
    <w:rsid w:val="0035024F"/>
    <w:rsid w:val="00352CBD"/>
    <w:rsid w:val="00365A6B"/>
    <w:rsid w:val="00385AC8"/>
    <w:rsid w:val="0038711F"/>
    <w:rsid w:val="00390549"/>
    <w:rsid w:val="003A026E"/>
    <w:rsid w:val="003A3ADD"/>
    <w:rsid w:val="003A6CB0"/>
    <w:rsid w:val="003B1392"/>
    <w:rsid w:val="003B2EAB"/>
    <w:rsid w:val="003B327F"/>
    <w:rsid w:val="003B6EB8"/>
    <w:rsid w:val="003C1ED7"/>
    <w:rsid w:val="003D1DDE"/>
    <w:rsid w:val="003D4061"/>
    <w:rsid w:val="003D42A2"/>
    <w:rsid w:val="003E0D3F"/>
    <w:rsid w:val="003E0F1A"/>
    <w:rsid w:val="003E141E"/>
    <w:rsid w:val="003F05E6"/>
    <w:rsid w:val="003F762E"/>
    <w:rsid w:val="00406576"/>
    <w:rsid w:val="00407064"/>
    <w:rsid w:val="004157A8"/>
    <w:rsid w:val="00416CE8"/>
    <w:rsid w:val="004170A3"/>
    <w:rsid w:val="004203D3"/>
    <w:rsid w:val="00427143"/>
    <w:rsid w:val="004313A6"/>
    <w:rsid w:val="0043379E"/>
    <w:rsid w:val="00433CAA"/>
    <w:rsid w:val="004344C5"/>
    <w:rsid w:val="00440404"/>
    <w:rsid w:val="004438CA"/>
    <w:rsid w:val="004539A4"/>
    <w:rsid w:val="00454068"/>
    <w:rsid w:val="0045475A"/>
    <w:rsid w:val="00457190"/>
    <w:rsid w:val="00460C7C"/>
    <w:rsid w:val="00462F9E"/>
    <w:rsid w:val="00463369"/>
    <w:rsid w:val="004712BB"/>
    <w:rsid w:val="00476582"/>
    <w:rsid w:val="00483E6F"/>
    <w:rsid w:val="00491303"/>
    <w:rsid w:val="00491C1E"/>
    <w:rsid w:val="0049653A"/>
    <w:rsid w:val="004B0A2E"/>
    <w:rsid w:val="004B76F1"/>
    <w:rsid w:val="004C1484"/>
    <w:rsid w:val="004D069E"/>
    <w:rsid w:val="004D272D"/>
    <w:rsid w:val="004D457E"/>
    <w:rsid w:val="004D6314"/>
    <w:rsid w:val="004D73E4"/>
    <w:rsid w:val="004E1F6A"/>
    <w:rsid w:val="004E2CEA"/>
    <w:rsid w:val="004F3EA4"/>
    <w:rsid w:val="005156A6"/>
    <w:rsid w:val="0053050A"/>
    <w:rsid w:val="00544074"/>
    <w:rsid w:val="00547D33"/>
    <w:rsid w:val="00554B11"/>
    <w:rsid w:val="00555A6D"/>
    <w:rsid w:val="00560AB3"/>
    <w:rsid w:val="00573278"/>
    <w:rsid w:val="00573790"/>
    <w:rsid w:val="00580971"/>
    <w:rsid w:val="00581D45"/>
    <w:rsid w:val="005831EA"/>
    <w:rsid w:val="00583351"/>
    <w:rsid w:val="00584E28"/>
    <w:rsid w:val="005876C1"/>
    <w:rsid w:val="00595952"/>
    <w:rsid w:val="00597886"/>
    <w:rsid w:val="005A4171"/>
    <w:rsid w:val="005A4312"/>
    <w:rsid w:val="005A48D6"/>
    <w:rsid w:val="005B351E"/>
    <w:rsid w:val="005B5A99"/>
    <w:rsid w:val="005C6240"/>
    <w:rsid w:val="005D4DAA"/>
    <w:rsid w:val="005F68C0"/>
    <w:rsid w:val="005F7112"/>
    <w:rsid w:val="00600B6B"/>
    <w:rsid w:val="0060171C"/>
    <w:rsid w:val="00606A24"/>
    <w:rsid w:val="006138B9"/>
    <w:rsid w:val="006139BA"/>
    <w:rsid w:val="006177CB"/>
    <w:rsid w:val="0061797D"/>
    <w:rsid w:val="00617F57"/>
    <w:rsid w:val="00620BE7"/>
    <w:rsid w:val="006354E0"/>
    <w:rsid w:val="00636620"/>
    <w:rsid w:val="006412F1"/>
    <w:rsid w:val="00642C10"/>
    <w:rsid w:val="00644DBF"/>
    <w:rsid w:val="00647B74"/>
    <w:rsid w:val="00651DDD"/>
    <w:rsid w:val="00653FB5"/>
    <w:rsid w:val="00657914"/>
    <w:rsid w:val="006629BD"/>
    <w:rsid w:val="0066315F"/>
    <w:rsid w:val="00667103"/>
    <w:rsid w:val="00671978"/>
    <w:rsid w:val="0067754F"/>
    <w:rsid w:val="00677FAC"/>
    <w:rsid w:val="0068133B"/>
    <w:rsid w:val="00682E30"/>
    <w:rsid w:val="0068380C"/>
    <w:rsid w:val="00684F3E"/>
    <w:rsid w:val="006A4C4D"/>
    <w:rsid w:val="006A7890"/>
    <w:rsid w:val="006B11C4"/>
    <w:rsid w:val="006B20EF"/>
    <w:rsid w:val="006B21EA"/>
    <w:rsid w:val="006B74DC"/>
    <w:rsid w:val="006C0B0C"/>
    <w:rsid w:val="006C24A2"/>
    <w:rsid w:val="006C47F4"/>
    <w:rsid w:val="006E037D"/>
    <w:rsid w:val="006E15BD"/>
    <w:rsid w:val="006E68B6"/>
    <w:rsid w:val="006F0BA6"/>
    <w:rsid w:val="006F1F02"/>
    <w:rsid w:val="006F6057"/>
    <w:rsid w:val="00703A8C"/>
    <w:rsid w:val="0071545A"/>
    <w:rsid w:val="00720A26"/>
    <w:rsid w:val="0072604D"/>
    <w:rsid w:val="00730B46"/>
    <w:rsid w:val="00731383"/>
    <w:rsid w:val="00733FC9"/>
    <w:rsid w:val="00735AB3"/>
    <w:rsid w:val="00735E1C"/>
    <w:rsid w:val="00741FE8"/>
    <w:rsid w:val="0075458C"/>
    <w:rsid w:val="00756576"/>
    <w:rsid w:val="0076777B"/>
    <w:rsid w:val="00773A66"/>
    <w:rsid w:val="007860F3"/>
    <w:rsid w:val="00797900"/>
    <w:rsid w:val="007A0CF1"/>
    <w:rsid w:val="007A58C1"/>
    <w:rsid w:val="007B7589"/>
    <w:rsid w:val="007C5BD0"/>
    <w:rsid w:val="007C6D3C"/>
    <w:rsid w:val="007D39D6"/>
    <w:rsid w:val="007E54DA"/>
    <w:rsid w:val="007F3BAD"/>
    <w:rsid w:val="00803866"/>
    <w:rsid w:val="00817925"/>
    <w:rsid w:val="008216B1"/>
    <w:rsid w:val="00822204"/>
    <w:rsid w:val="008232A6"/>
    <w:rsid w:val="0082497E"/>
    <w:rsid w:val="00827D9F"/>
    <w:rsid w:val="00836B8C"/>
    <w:rsid w:val="00841DEA"/>
    <w:rsid w:val="00841E91"/>
    <w:rsid w:val="008431A6"/>
    <w:rsid w:val="008476B6"/>
    <w:rsid w:val="00854143"/>
    <w:rsid w:val="00856E9E"/>
    <w:rsid w:val="008575D6"/>
    <w:rsid w:val="0086713C"/>
    <w:rsid w:val="00870D53"/>
    <w:rsid w:val="008743A3"/>
    <w:rsid w:val="00876AAD"/>
    <w:rsid w:val="00881098"/>
    <w:rsid w:val="00884AC8"/>
    <w:rsid w:val="008878B4"/>
    <w:rsid w:val="008970B4"/>
    <w:rsid w:val="008B055C"/>
    <w:rsid w:val="008B09BF"/>
    <w:rsid w:val="008B7EBB"/>
    <w:rsid w:val="008C1A4A"/>
    <w:rsid w:val="008C5F03"/>
    <w:rsid w:val="008D3D44"/>
    <w:rsid w:val="008D4004"/>
    <w:rsid w:val="008E5DA3"/>
    <w:rsid w:val="008F38DA"/>
    <w:rsid w:val="008F5946"/>
    <w:rsid w:val="009016D7"/>
    <w:rsid w:val="00910E55"/>
    <w:rsid w:val="009407D0"/>
    <w:rsid w:val="0094772A"/>
    <w:rsid w:val="00964E79"/>
    <w:rsid w:val="009778D8"/>
    <w:rsid w:val="00983AA3"/>
    <w:rsid w:val="009842F4"/>
    <w:rsid w:val="009849B2"/>
    <w:rsid w:val="009960A3"/>
    <w:rsid w:val="009A296C"/>
    <w:rsid w:val="009A2DAC"/>
    <w:rsid w:val="009A55B4"/>
    <w:rsid w:val="009A6309"/>
    <w:rsid w:val="009A7DB5"/>
    <w:rsid w:val="009B3242"/>
    <w:rsid w:val="009B50FA"/>
    <w:rsid w:val="009C1C61"/>
    <w:rsid w:val="009C258F"/>
    <w:rsid w:val="009C5C86"/>
    <w:rsid w:val="009D5F8E"/>
    <w:rsid w:val="009E008E"/>
    <w:rsid w:val="009E25CA"/>
    <w:rsid w:val="009E495F"/>
    <w:rsid w:val="009F0E5D"/>
    <w:rsid w:val="009F484C"/>
    <w:rsid w:val="00A03D21"/>
    <w:rsid w:val="00A0501B"/>
    <w:rsid w:val="00A1177F"/>
    <w:rsid w:val="00A126E8"/>
    <w:rsid w:val="00A22FF9"/>
    <w:rsid w:val="00A23F4E"/>
    <w:rsid w:val="00A25684"/>
    <w:rsid w:val="00A26B66"/>
    <w:rsid w:val="00A33C67"/>
    <w:rsid w:val="00A37581"/>
    <w:rsid w:val="00A47EED"/>
    <w:rsid w:val="00A5137E"/>
    <w:rsid w:val="00A53E2A"/>
    <w:rsid w:val="00A561A0"/>
    <w:rsid w:val="00A66389"/>
    <w:rsid w:val="00A678E8"/>
    <w:rsid w:val="00A715FD"/>
    <w:rsid w:val="00A71E08"/>
    <w:rsid w:val="00A85C0D"/>
    <w:rsid w:val="00A90324"/>
    <w:rsid w:val="00A96F5B"/>
    <w:rsid w:val="00AA00C2"/>
    <w:rsid w:val="00AA0792"/>
    <w:rsid w:val="00AA708D"/>
    <w:rsid w:val="00AB2ECC"/>
    <w:rsid w:val="00AB4498"/>
    <w:rsid w:val="00AC0485"/>
    <w:rsid w:val="00AD4196"/>
    <w:rsid w:val="00AD47CE"/>
    <w:rsid w:val="00AD6861"/>
    <w:rsid w:val="00AD6C7B"/>
    <w:rsid w:val="00AE38F2"/>
    <w:rsid w:val="00AE56DA"/>
    <w:rsid w:val="00AE6ACB"/>
    <w:rsid w:val="00AF0327"/>
    <w:rsid w:val="00AF09C0"/>
    <w:rsid w:val="00AF3FF6"/>
    <w:rsid w:val="00AF4D27"/>
    <w:rsid w:val="00B07E6C"/>
    <w:rsid w:val="00B113F9"/>
    <w:rsid w:val="00B14E88"/>
    <w:rsid w:val="00B20BBA"/>
    <w:rsid w:val="00B2716D"/>
    <w:rsid w:val="00B33847"/>
    <w:rsid w:val="00B37C4E"/>
    <w:rsid w:val="00B409D8"/>
    <w:rsid w:val="00B4303C"/>
    <w:rsid w:val="00B448F1"/>
    <w:rsid w:val="00B55179"/>
    <w:rsid w:val="00B55956"/>
    <w:rsid w:val="00B56C8E"/>
    <w:rsid w:val="00B61485"/>
    <w:rsid w:val="00B625DE"/>
    <w:rsid w:val="00B64225"/>
    <w:rsid w:val="00B65E45"/>
    <w:rsid w:val="00B66E57"/>
    <w:rsid w:val="00B715CD"/>
    <w:rsid w:val="00B775AE"/>
    <w:rsid w:val="00B83A3A"/>
    <w:rsid w:val="00B87A6E"/>
    <w:rsid w:val="00B904BC"/>
    <w:rsid w:val="00B93B91"/>
    <w:rsid w:val="00BA142A"/>
    <w:rsid w:val="00BA5933"/>
    <w:rsid w:val="00BB694A"/>
    <w:rsid w:val="00BC4CC1"/>
    <w:rsid w:val="00BC4DE1"/>
    <w:rsid w:val="00BC66A3"/>
    <w:rsid w:val="00BD0010"/>
    <w:rsid w:val="00BD04D1"/>
    <w:rsid w:val="00BE7D0E"/>
    <w:rsid w:val="00C01F73"/>
    <w:rsid w:val="00C06777"/>
    <w:rsid w:val="00C070D0"/>
    <w:rsid w:val="00C12F90"/>
    <w:rsid w:val="00C16F73"/>
    <w:rsid w:val="00C2094C"/>
    <w:rsid w:val="00C20F83"/>
    <w:rsid w:val="00C2109B"/>
    <w:rsid w:val="00C21F55"/>
    <w:rsid w:val="00C24C3B"/>
    <w:rsid w:val="00C321B0"/>
    <w:rsid w:val="00C3229F"/>
    <w:rsid w:val="00C408CC"/>
    <w:rsid w:val="00C44781"/>
    <w:rsid w:val="00C45D60"/>
    <w:rsid w:val="00C46B28"/>
    <w:rsid w:val="00C57EC7"/>
    <w:rsid w:val="00C70124"/>
    <w:rsid w:val="00C80A4F"/>
    <w:rsid w:val="00C831C7"/>
    <w:rsid w:val="00C87B7D"/>
    <w:rsid w:val="00C93133"/>
    <w:rsid w:val="00C96F8A"/>
    <w:rsid w:val="00CA2497"/>
    <w:rsid w:val="00CB0802"/>
    <w:rsid w:val="00CB4586"/>
    <w:rsid w:val="00CB5343"/>
    <w:rsid w:val="00CC1FD2"/>
    <w:rsid w:val="00CC3F36"/>
    <w:rsid w:val="00CE0FCB"/>
    <w:rsid w:val="00CE625E"/>
    <w:rsid w:val="00CF3CE4"/>
    <w:rsid w:val="00D022FF"/>
    <w:rsid w:val="00D03A49"/>
    <w:rsid w:val="00D062B3"/>
    <w:rsid w:val="00D101B1"/>
    <w:rsid w:val="00D15837"/>
    <w:rsid w:val="00D17473"/>
    <w:rsid w:val="00D31CCC"/>
    <w:rsid w:val="00D4444B"/>
    <w:rsid w:val="00D458E1"/>
    <w:rsid w:val="00D46FF7"/>
    <w:rsid w:val="00D519DF"/>
    <w:rsid w:val="00D61E8D"/>
    <w:rsid w:val="00D63F5D"/>
    <w:rsid w:val="00D67ACB"/>
    <w:rsid w:val="00D72ABF"/>
    <w:rsid w:val="00D81AF1"/>
    <w:rsid w:val="00D83294"/>
    <w:rsid w:val="00D92CC2"/>
    <w:rsid w:val="00D94C4A"/>
    <w:rsid w:val="00D964A5"/>
    <w:rsid w:val="00DA03FE"/>
    <w:rsid w:val="00DA09DA"/>
    <w:rsid w:val="00DA18CE"/>
    <w:rsid w:val="00DA285D"/>
    <w:rsid w:val="00DA3E33"/>
    <w:rsid w:val="00DA7BEB"/>
    <w:rsid w:val="00DD09AA"/>
    <w:rsid w:val="00DD7178"/>
    <w:rsid w:val="00DE267E"/>
    <w:rsid w:val="00DE5782"/>
    <w:rsid w:val="00DE60DB"/>
    <w:rsid w:val="00DF096D"/>
    <w:rsid w:val="00DF1EAD"/>
    <w:rsid w:val="00E033B0"/>
    <w:rsid w:val="00E0720E"/>
    <w:rsid w:val="00E07C2F"/>
    <w:rsid w:val="00E1373E"/>
    <w:rsid w:val="00E152B5"/>
    <w:rsid w:val="00E17977"/>
    <w:rsid w:val="00E26CED"/>
    <w:rsid w:val="00E41A12"/>
    <w:rsid w:val="00E460C6"/>
    <w:rsid w:val="00E51B0F"/>
    <w:rsid w:val="00E52DC7"/>
    <w:rsid w:val="00E52E92"/>
    <w:rsid w:val="00E536BA"/>
    <w:rsid w:val="00E53E35"/>
    <w:rsid w:val="00E56E6F"/>
    <w:rsid w:val="00E57B7E"/>
    <w:rsid w:val="00E60B89"/>
    <w:rsid w:val="00E67EFC"/>
    <w:rsid w:val="00E7024F"/>
    <w:rsid w:val="00E77649"/>
    <w:rsid w:val="00E83502"/>
    <w:rsid w:val="00E85BD8"/>
    <w:rsid w:val="00E875ED"/>
    <w:rsid w:val="00E9270B"/>
    <w:rsid w:val="00E97F74"/>
    <w:rsid w:val="00EA153F"/>
    <w:rsid w:val="00EB243D"/>
    <w:rsid w:val="00EB48AB"/>
    <w:rsid w:val="00EB5E7B"/>
    <w:rsid w:val="00EB7645"/>
    <w:rsid w:val="00EC2FF9"/>
    <w:rsid w:val="00EC6532"/>
    <w:rsid w:val="00ED3A9A"/>
    <w:rsid w:val="00EE1FFC"/>
    <w:rsid w:val="00EF68B6"/>
    <w:rsid w:val="00EF78B3"/>
    <w:rsid w:val="00F136B1"/>
    <w:rsid w:val="00F15BA0"/>
    <w:rsid w:val="00F27082"/>
    <w:rsid w:val="00F41561"/>
    <w:rsid w:val="00F431C4"/>
    <w:rsid w:val="00F455D5"/>
    <w:rsid w:val="00F45658"/>
    <w:rsid w:val="00F55761"/>
    <w:rsid w:val="00F55EAC"/>
    <w:rsid w:val="00F73A48"/>
    <w:rsid w:val="00F75671"/>
    <w:rsid w:val="00F80E6D"/>
    <w:rsid w:val="00F82823"/>
    <w:rsid w:val="00F8775A"/>
    <w:rsid w:val="00F8784D"/>
    <w:rsid w:val="00F878EE"/>
    <w:rsid w:val="00F951D7"/>
    <w:rsid w:val="00FA3185"/>
    <w:rsid w:val="00FA64DB"/>
    <w:rsid w:val="00FB11A7"/>
    <w:rsid w:val="00FB3536"/>
    <w:rsid w:val="00FB378B"/>
    <w:rsid w:val="00FC0818"/>
    <w:rsid w:val="00FC0A30"/>
    <w:rsid w:val="00FC7B7E"/>
    <w:rsid w:val="00FE6376"/>
    <w:rsid w:val="00FF43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3A6"/>
    <w:rPr>
      <w:rFonts w:ascii="Times New Roman" w:eastAsia="Times New Roman" w:hAnsi="Times New Roman" w:cs="Times New Roman"/>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129B7"/>
    <w:pPr>
      <w:tabs>
        <w:tab w:val="center" w:pos="4153"/>
        <w:tab w:val="right" w:pos="8306"/>
      </w:tabs>
    </w:pPr>
    <w:rPr>
      <w:rFonts w:ascii="Calibri" w:eastAsia="Calibri" w:hAnsi="Calibri"/>
      <w:sz w:val="20"/>
      <w:szCs w:val="20"/>
      <w:lang w:bidi="he-IL"/>
    </w:rPr>
  </w:style>
  <w:style w:type="character" w:customStyle="1" w:styleId="a4">
    <w:name w:val="כותרת עליונה תו"/>
    <w:link w:val="a3"/>
    <w:uiPriority w:val="99"/>
    <w:locked/>
    <w:rsid w:val="003129B7"/>
    <w:rPr>
      <w:rFonts w:cs="Times New Roman"/>
    </w:rPr>
  </w:style>
  <w:style w:type="paragraph" w:styleId="a5">
    <w:name w:val="footer"/>
    <w:basedOn w:val="a"/>
    <w:link w:val="a6"/>
    <w:uiPriority w:val="99"/>
    <w:semiHidden/>
    <w:rsid w:val="003129B7"/>
    <w:pPr>
      <w:tabs>
        <w:tab w:val="center" w:pos="4153"/>
        <w:tab w:val="right" w:pos="8306"/>
      </w:tabs>
    </w:pPr>
    <w:rPr>
      <w:rFonts w:ascii="Calibri" w:eastAsia="Calibri" w:hAnsi="Calibri"/>
      <w:sz w:val="20"/>
      <w:szCs w:val="20"/>
      <w:lang w:bidi="he-IL"/>
    </w:rPr>
  </w:style>
  <w:style w:type="character" w:customStyle="1" w:styleId="a6">
    <w:name w:val="כותרת תחתונה תו"/>
    <w:link w:val="a5"/>
    <w:uiPriority w:val="99"/>
    <w:semiHidden/>
    <w:locked/>
    <w:rsid w:val="003129B7"/>
    <w:rPr>
      <w:rFonts w:cs="Times New Roman"/>
    </w:rPr>
  </w:style>
  <w:style w:type="paragraph" w:styleId="a7">
    <w:name w:val="Balloon Text"/>
    <w:basedOn w:val="a"/>
    <w:link w:val="a8"/>
    <w:uiPriority w:val="99"/>
    <w:semiHidden/>
    <w:rsid w:val="003129B7"/>
    <w:rPr>
      <w:rFonts w:ascii="Tahoma" w:eastAsia="Calibri" w:hAnsi="Tahoma"/>
      <w:sz w:val="16"/>
      <w:szCs w:val="16"/>
      <w:lang w:bidi="he-IL"/>
    </w:rPr>
  </w:style>
  <w:style w:type="character" w:customStyle="1" w:styleId="a8">
    <w:name w:val="טקסט בלונים תו"/>
    <w:link w:val="a7"/>
    <w:uiPriority w:val="99"/>
    <w:semiHidden/>
    <w:locked/>
    <w:rsid w:val="003129B7"/>
    <w:rPr>
      <w:rFonts w:ascii="Tahoma" w:hAnsi="Tahoma" w:cs="Tahoma"/>
      <w:sz w:val="16"/>
      <w:szCs w:val="16"/>
    </w:rPr>
  </w:style>
  <w:style w:type="paragraph" w:styleId="a9">
    <w:name w:val="List Paragraph"/>
    <w:basedOn w:val="a"/>
    <w:uiPriority w:val="34"/>
    <w:qFormat/>
    <w:rsid w:val="003129B7"/>
    <w:pPr>
      <w:bidi/>
      <w:ind w:left="720"/>
    </w:pPr>
    <w:rPr>
      <w:lang w:bidi="he-IL"/>
    </w:rPr>
  </w:style>
  <w:style w:type="table" w:styleId="aa">
    <w:name w:val="Table Grid"/>
    <w:basedOn w:val="a1"/>
    <w:uiPriority w:val="99"/>
    <w:rsid w:val="003129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a"/>
    <w:uiPriority w:val="59"/>
    <w:rsid w:val="007A58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3A6"/>
    <w:rPr>
      <w:rFonts w:ascii="Times New Roman" w:eastAsia="Times New Roman" w:hAnsi="Times New Roman" w:cs="Times New Roman"/>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129B7"/>
    <w:pPr>
      <w:tabs>
        <w:tab w:val="center" w:pos="4153"/>
        <w:tab w:val="right" w:pos="8306"/>
      </w:tabs>
    </w:pPr>
    <w:rPr>
      <w:rFonts w:ascii="Calibri" w:eastAsia="Calibri" w:hAnsi="Calibri"/>
      <w:sz w:val="20"/>
      <w:szCs w:val="20"/>
      <w:lang w:bidi="he-IL"/>
    </w:rPr>
  </w:style>
  <w:style w:type="character" w:customStyle="1" w:styleId="a4">
    <w:name w:val="כותרת עליונה תו"/>
    <w:link w:val="a3"/>
    <w:uiPriority w:val="99"/>
    <w:locked/>
    <w:rsid w:val="003129B7"/>
    <w:rPr>
      <w:rFonts w:cs="Times New Roman"/>
    </w:rPr>
  </w:style>
  <w:style w:type="paragraph" w:styleId="a5">
    <w:name w:val="footer"/>
    <w:basedOn w:val="a"/>
    <w:link w:val="a6"/>
    <w:uiPriority w:val="99"/>
    <w:semiHidden/>
    <w:rsid w:val="003129B7"/>
    <w:pPr>
      <w:tabs>
        <w:tab w:val="center" w:pos="4153"/>
        <w:tab w:val="right" w:pos="8306"/>
      </w:tabs>
    </w:pPr>
    <w:rPr>
      <w:rFonts w:ascii="Calibri" w:eastAsia="Calibri" w:hAnsi="Calibri"/>
      <w:sz w:val="20"/>
      <w:szCs w:val="20"/>
      <w:lang w:bidi="he-IL"/>
    </w:rPr>
  </w:style>
  <w:style w:type="character" w:customStyle="1" w:styleId="a6">
    <w:name w:val="כותרת תחתונה תו"/>
    <w:link w:val="a5"/>
    <w:uiPriority w:val="99"/>
    <w:semiHidden/>
    <w:locked/>
    <w:rsid w:val="003129B7"/>
    <w:rPr>
      <w:rFonts w:cs="Times New Roman"/>
    </w:rPr>
  </w:style>
  <w:style w:type="paragraph" w:styleId="a7">
    <w:name w:val="Balloon Text"/>
    <w:basedOn w:val="a"/>
    <w:link w:val="a8"/>
    <w:uiPriority w:val="99"/>
    <w:semiHidden/>
    <w:rsid w:val="003129B7"/>
    <w:rPr>
      <w:rFonts w:ascii="Tahoma" w:eastAsia="Calibri" w:hAnsi="Tahoma"/>
      <w:sz w:val="16"/>
      <w:szCs w:val="16"/>
      <w:lang w:bidi="he-IL"/>
    </w:rPr>
  </w:style>
  <w:style w:type="character" w:customStyle="1" w:styleId="a8">
    <w:name w:val="טקסט בלונים תו"/>
    <w:link w:val="a7"/>
    <w:uiPriority w:val="99"/>
    <w:semiHidden/>
    <w:locked/>
    <w:rsid w:val="003129B7"/>
    <w:rPr>
      <w:rFonts w:ascii="Tahoma" w:hAnsi="Tahoma" w:cs="Tahoma"/>
      <w:sz w:val="16"/>
      <w:szCs w:val="16"/>
    </w:rPr>
  </w:style>
  <w:style w:type="paragraph" w:styleId="a9">
    <w:name w:val="List Paragraph"/>
    <w:basedOn w:val="a"/>
    <w:uiPriority w:val="34"/>
    <w:qFormat/>
    <w:rsid w:val="003129B7"/>
    <w:pPr>
      <w:bidi/>
      <w:ind w:left="720"/>
    </w:pPr>
    <w:rPr>
      <w:lang w:bidi="he-IL"/>
    </w:rPr>
  </w:style>
  <w:style w:type="table" w:styleId="aa">
    <w:name w:val="Table Grid"/>
    <w:basedOn w:val="a1"/>
    <w:uiPriority w:val="99"/>
    <w:rsid w:val="003129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a"/>
    <w:uiPriority w:val="59"/>
    <w:rsid w:val="007A58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41822">
      <w:bodyDiv w:val="1"/>
      <w:marLeft w:val="0"/>
      <w:marRight w:val="0"/>
      <w:marTop w:val="0"/>
      <w:marBottom w:val="0"/>
      <w:divBdr>
        <w:top w:val="none" w:sz="0" w:space="0" w:color="auto"/>
        <w:left w:val="none" w:sz="0" w:space="0" w:color="auto"/>
        <w:bottom w:val="none" w:sz="0" w:space="0" w:color="auto"/>
        <w:right w:val="none" w:sz="0" w:space="0" w:color="auto"/>
      </w:divBdr>
    </w:div>
    <w:div w:id="1259800404">
      <w:bodyDiv w:val="1"/>
      <w:marLeft w:val="0"/>
      <w:marRight w:val="0"/>
      <w:marTop w:val="0"/>
      <w:marBottom w:val="0"/>
      <w:divBdr>
        <w:top w:val="none" w:sz="0" w:space="0" w:color="auto"/>
        <w:left w:val="none" w:sz="0" w:space="0" w:color="auto"/>
        <w:bottom w:val="none" w:sz="0" w:space="0" w:color="auto"/>
        <w:right w:val="none" w:sz="0" w:space="0" w:color="auto"/>
      </w:divBdr>
    </w:div>
    <w:div w:id="1377700408">
      <w:bodyDiv w:val="1"/>
      <w:marLeft w:val="0"/>
      <w:marRight w:val="0"/>
      <w:marTop w:val="0"/>
      <w:marBottom w:val="0"/>
      <w:divBdr>
        <w:top w:val="none" w:sz="0" w:space="0" w:color="auto"/>
        <w:left w:val="none" w:sz="0" w:space="0" w:color="auto"/>
        <w:bottom w:val="none" w:sz="0" w:space="0" w:color="auto"/>
        <w:right w:val="none" w:sz="0" w:space="0" w:color="auto"/>
      </w:divBdr>
    </w:div>
    <w:div w:id="1463881211">
      <w:bodyDiv w:val="1"/>
      <w:marLeft w:val="0"/>
      <w:marRight w:val="0"/>
      <w:marTop w:val="0"/>
      <w:marBottom w:val="0"/>
      <w:divBdr>
        <w:top w:val="none" w:sz="0" w:space="0" w:color="auto"/>
        <w:left w:val="none" w:sz="0" w:space="0" w:color="auto"/>
        <w:bottom w:val="none" w:sz="0" w:space="0" w:color="auto"/>
        <w:right w:val="none" w:sz="0" w:space="0" w:color="auto"/>
      </w:divBdr>
    </w:div>
    <w:div w:id="1548296423">
      <w:bodyDiv w:val="1"/>
      <w:marLeft w:val="0"/>
      <w:marRight w:val="0"/>
      <w:marTop w:val="0"/>
      <w:marBottom w:val="0"/>
      <w:divBdr>
        <w:top w:val="none" w:sz="0" w:space="0" w:color="auto"/>
        <w:left w:val="none" w:sz="0" w:space="0" w:color="auto"/>
        <w:bottom w:val="none" w:sz="0" w:space="0" w:color="auto"/>
        <w:right w:val="none" w:sz="0" w:space="0" w:color="auto"/>
      </w:divBdr>
    </w:div>
    <w:div w:id="1565918505">
      <w:bodyDiv w:val="1"/>
      <w:marLeft w:val="0"/>
      <w:marRight w:val="0"/>
      <w:marTop w:val="0"/>
      <w:marBottom w:val="0"/>
      <w:divBdr>
        <w:top w:val="none" w:sz="0" w:space="0" w:color="auto"/>
        <w:left w:val="none" w:sz="0" w:space="0" w:color="auto"/>
        <w:bottom w:val="none" w:sz="0" w:space="0" w:color="auto"/>
        <w:right w:val="none" w:sz="0" w:space="0" w:color="auto"/>
      </w:divBdr>
    </w:div>
    <w:div w:id="1735425598">
      <w:bodyDiv w:val="1"/>
      <w:marLeft w:val="0"/>
      <w:marRight w:val="0"/>
      <w:marTop w:val="0"/>
      <w:marBottom w:val="0"/>
      <w:divBdr>
        <w:top w:val="none" w:sz="0" w:space="0" w:color="auto"/>
        <w:left w:val="none" w:sz="0" w:space="0" w:color="auto"/>
        <w:bottom w:val="none" w:sz="0" w:space="0" w:color="auto"/>
        <w:right w:val="none" w:sz="0" w:space="0" w:color="auto"/>
      </w:divBdr>
    </w:div>
    <w:div w:id="213512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7.jpeg"/></Relationships>
</file>

<file path=word/_rels/footer2.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10</Pages>
  <Words>1489</Words>
  <Characters>7445</Characters>
  <Application>Microsoft Office Word</Application>
  <DocSecurity>0</DocSecurity>
  <Lines>62</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נמשכת האופטימיות בשווקים על אף החולשה בנתוני המאקרו בארה"ב</vt:lpstr>
      <vt:lpstr>נמשכת האופטימיות בשווקים על אף החולשה בנתוני המאקרו בארה"ב</vt:lpstr>
    </vt:vector>
  </TitlesOfParts>
  <Company/>
  <LinksUpToDate>false</LinksUpToDate>
  <CharactersWithSpaces>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נמשכת האופטימיות בשווקים על אף החולשה בנתוני המאקרו בארה"ב</dc:title>
  <dc:creator>Osher Hadad</dc:creator>
  <cp:lastModifiedBy>Daniel</cp:lastModifiedBy>
  <cp:revision>18</cp:revision>
  <cp:lastPrinted>2016-02-01T09:56:00Z</cp:lastPrinted>
  <dcterms:created xsi:type="dcterms:W3CDTF">2016-02-01T09:19:00Z</dcterms:created>
  <dcterms:modified xsi:type="dcterms:W3CDTF">2016-03-02T09:05:00Z</dcterms:modified>
</cp:coreProperties>
</file>